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311785</wp:posOffset>
            </wp:positionV>
            <wp:extent cx="71323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2603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346075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8"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SECURITIES AND EXCHANGE COMMISSION</w:t>
      </w:r>
    </w:p>
    <w:p>
      <w:pPr>
        <w:spacing w:after="0" w:line="6"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 C. 20549</w:t>
      </w:r>
    </w:p>
    <w:p>
      <w:pPr>
        <w:spacing w:after="0" w:line="200"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FORM 8-K</w:t>
      </w:r>
    </w:p>
    <w:p>
      <w:pPr>
        <w:spacing w:after="0" w:line="23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CURRENT REPORT</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Pursuant to Section 13 or 15(d) of the Securities Exchange Act Of 1934</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 xml:space="preserve">Date of Report (Date of earliest event reported): </w:t>
      </w:r>
      <w:r>
        <w:rPr>
          <w:rFonts w:ascii="Arial" w:cs="Arial" w:eastAsia="Arial" w:hAnsi="Arial"/>
          <w:sz w:val="18"/>
          <w:szCs w:val="18"/>
          <w:b w:val="1"/>
          <w:bCs w:val="1"/>
          <w:color w:val="auto"/>
        </w:rPr>
        <w:t>March 31, 2021</w:t>
      </w:r>
    </w:p>
    <w:p>
      <w:pPr>
        <w:spacing w:after="0" w:line="27" w:lineRule="exact"/>
        <w:rPr>
          <w:sz w:val="24"/>
          <w:szCs w:val="24"/>
          <w:color w:val="auto"/>
        </w:rPr>
      </w:pPr>
    </w:p>
    <w:p>
      <w:pPr>
        <w:ind w:left="2980"/>
        <w:spacing w:after="0"/>
        <w:rPr>
          <w:sz w:val="20"/>
          <w:szCs w:val="20"/>
          <w:color w:val="auto"/>
        </w:rPr>
      </w:pPr>
      <w:r>
        <w:rPr>
          <w:rFonts w:ascii="Arial" w:cs="Arial" w:eastAsia="Arial" w:hAnsi="Arial"/>
          <w:sz w:val="18"/>
          <w:szCs w:val="18"/>
          <w:b w:val="1"/>
          <w:bCs w:val="1"/>
          <w:color w:val="auto"/>
        </w:rPr>
        <w:t>___________________________________________________________</w:t>
      </w:r>
    </w:p>
    <w:p>
      <w:pPr>
        <w:spacing w:after="0" w:line="184"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ACURA PHARMACEUTICALS, INC.</w:t>
      </w:r>
    </w:p>
    <w:p>
      <w:pPr>
        <w:spacing w:after="0" w:line="3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7" w:lineRule="exact"/>
        <w:rPr>
          <w:sz w:val="24"/>
          <w:szCs w:val="24"/>
          <w:color w:val="auto"/>
        </w:rPr>
      </w:pPr>
    </w:p>
    <w:p>
      <w:pPr>
        <w:ind w:left="2980"/>
        <w:spacing w:after="0"/>
        <w:rPr>
          <w:sz w:val="20"/>
          <w:szCs w:val="20"/>
          <w:color w:val="auto"/>
        </w:rPr>
      </w:pPr>
      <w:r>
        <w:rPr>
          <w:rFonts w:ascii="Arial" w:cs="Arial" w:eastAsia="Arial" w:hAnsi="Arial"/>
          <w:sz w:val="18"/>
          <w:szCs w:val="18"/>
          <w:b w:val="1"/>
          <w:bCs w:val="1"/>
          <w:color w:val="auto"/>
        </w:rPr>
        <w:t>___________________________________________________________</w:t>
      </w:r>
    </w:p>
    <w:p>
      <w:pPr>
        <w:spacing w:after="0" w:line="207" w:lineRule="exact"/>
        <w:rPr>
          <w:sz w:val="24"/>
          <w:szCs w:val="24"/>
          <w:color w:val="auto"/>
        </w:rPr>
      </w:pPr>
    </w:p>
    <w:tbl>
      <w:tblPr>
        <w:tblLayout w:type="fixed"/>
        <w:tblInd w:w="0" w:type="dxa"/>
        <w:tblCellMar>
          <w:top w:w="0" w:type="dxa"/>
          <w:left w:w="0" w:type="dxa"/>
          <w:bottom w:w="0" w:type="dxa"/>
          <w:right w:w="0" w:type="dxa"/>
        </w:tblCellMar>
      </w:tblPr>
      <w:tr>
        <w:trPr>
          <w:trHeight w:val="220"/>
        </w:trPr>
        <w:tc>
          <w:tcPr>
            <w:tcW w:w="1440" w:type="dxa"/>
            <w:vAlign w:val="bottom"/>
          </w:tcPr>
          <w:p>
            <w:pPr>
              <w:spacing w:after="0"/>
              <w:rPr>
                <w:sz w:val="19"/>
                <w:szCs w:val="19"/>
                <w:color w:val="auto"/>
              </w:rPr>
            </w:pPr>
          </w:p>
        </w:tc>
        <w:tc>
          <w:tcPr>
            <w:tcW w:w="1940" w:type="dxa"/>
            <w:vAlign w:val="bottom"/>
          </w:tcPr>
          <w:p>
            <w:pPr>
              <w:jc w:val="center"/>
              <w:ind w:right="890"/>
              <w:spacing w:after="0"/>
              <w:rPr>
                <w:sz w:val="20"/>
                <w:szCs w:val="20"/>
                <w:color w:val="auto"/>
              </w:rPr>
            </w:pPr>
            <w:r>
              <w:rPr>
                <w:rFonts w:ascii="Arial" w:cs="Arial" w:eastAsia="Arial" w:hAnsi="Arial"/>
                <w:sz w:val="18"/>
                <w:szCs w:val="18"/>
                <w:b w:val="1"/>
                <w:bCs w:val="1"/>
                <w:color w:val="auto"/>
                <w:w w:val="92"/>
              </w:rPr>
              <w:t>New York</w:t>
            </w:r>
          </w:p>
        </w:tc>
        <w:tc>
          <w:tcPr>
            <w:tcW w:w="2560" w:type="dxa"/>
            <w:vAlign w:val="bottom"/>
            <w:gridSpan w:val="2"/>
          </w:tcPr>
          <w:p>
            <w:pPr>
              <w:jc w:val="center"/>
              <w:ind w:left="1850"/>
              <w:spacing w:after="0"/>
              <w:rPr>
                <w:sz w:val="20"/>
                <w:szCs w:val="20"/>
                <w:color w:val="auto"/>
              </w:rPr>
            </w:pPr>
            <w:r>
              <w:rPr>
                <w:rFonts w:ascii="Arial" w:cs="Arial" w:eastAsia="Arial" w:hAnsi="Arial"/>
                <w:sz w:val="18"/>
                <w:szCs w:val="18"/>
                <w:b w:val="1"/>
                <w:bCs w:val="1"/>
                <w:color w:val="auto"/>
                <w:w w:val="87"/>
              </w:rPr>
              <w:t>1-10113</w:t>
            </w:r>
          </w:p>
        </w:tc>
        <w:tc>
          <w:tcPr>
            <w:tcW w:w="1040" w:type="dxa"/>
            <w:vAlign w:val="bottom"/>
          </w:tcPr>
          <w:p>
            <w:pPr>
              <w:spacing w:after="0"/>
              <w:rPr>
                <w:sz w:val="19"/>
                <w:szCs w:val="19"/>
                <w:color w:val="auto"/>
              </w:rPr>
            </w:pPr>
          </w:p>
        </w:tc>
        <w:tc>
          <w:tcPr>
            <w:tcW w:w="3520" w:type="dxa"/>
            <w:vAlign w:val="bottom"/>
          </w:tcPr>
          <w:p>
            <w:pPr>
              <w:jc w:val="center"/>
              <w:ind w:left="1090"/>
              <w:spacing w:after="0"/>
              <w:rPr>
                <w:sz w:val="20"/>
                <w:szCs w:val="20"/>
                <w:color w:val="auto"/>
              </w:rPr>
            </w:pPr>
            <w:r>
              <w:rPr>
                <w:rFonts w:ascii="Arial" w:cs="Arial" w:eastAsia="Arial" w:hAnsi="Arial"/>
                <w:sz w:val="18"/>
                <w:szCs w:val="18"/>
                <w:b w:val="1"/>
                <w:bCs w:val="1"/>
                <w:color w:val="auto"/>
                <w:w w:val="89"/>
              </w:rPr>
              <w:t>11-0853640</w:t>
            </w:r>
          </w:p>
        </w:tc>
      </w:tr>
      <w:tr>
        <w:trPr>
          <w:trHeight w:val="216"/>
        </w:trPr>
        <w:tc>
          <w:tcPr>
            <w:tcW w:w="3380" w:type="dxa"/>
            <w:vAlign w:val="bottom"/>
            <w:gridSpan w:val="2"/>
          </w:tcPr>
          <w:p>
            <w:pPr>
              <w:jc w:val="center"/>
              <w:ind w:left="370"/>
              <w:spacing w:after="0"/>
              <w:rPr>
                <w:sz w:val="20"/>
                <w:szCs w:val="20"/>
                <w:color w:val="auto"/>
              </w:rPr>
            </w:pPr>
            <w:r>
              <w:rPr>
                <w:rFonts w:ascii="Arial" w:cs="Arial" w:eastAsia="Arial" w:hAnsi="Arial"/>
                <w:sz w:val="18"/>
                <w:szCs w:val="18"/>
                <w:color w:val="auto"/>
                <w:w w:val="92"/>
              </w:rPr>
              <w:t>(State or other jurisdiction of</w:t>
            </w:r>
          </w:p>
        </w:tc>
        <w:tc>
          <w:tcPr>
            <w:tcW w:w="1140" w:type="dxa"/>
            <w:vAlign w:val="bottom"/>
          </w:tcPr>
          <w:p>
            <w:pPr>
              <w:spacing w:after="0"/>
              <w:rPr>
                <w:sz w:val="18"/>
                <w:szCs w:val="18"/>
                <w:color w:val="auto"/>
              </w:rPr>
            </w:pPr>
          </w:p>
        </w:tc>
        <w:tc>
          <w:tcPr>
            <w:tcW w:w="2460" w:type="dxa"/>
            <w:vAlign w:val="bottom"/>
            <w:gridSpan w:val="2"/>
          </w:tcPr>
          <w:p>
            <w:pPr>
              <w:jc w:val="center"/>
              <w:ind w:right="240"/>
              <w:spacing w:after="0"/>
              <w:rPr>
                <w:sz w:val="20"/>
                <w:szCs w:val="20"/>
                <w:color w:val="auto"/>
              </w:rPr>
            </w:pPr>
            <w:r>
              <w:rPr>
                <w:rFonts w:ascii="Arial" w:cs="Arial" w:eastAsia="Arial" w:hAnsi="Arial"/>
                <w:sz w:val="18"/>
                <w:szCs w:val="18"/>
                <w:color w:val="auto"/>
                <w:w w:val="92"/>
              </w:rPr>
              <w:t>(Commission File Number)</w:t>
            </w:r>
          </w:p>
        </w:tc>
        <w:tc>
          <w:tcPr>
            <w:tcW w:w="3520" w:type="dxa"/>
            <w:vAlign w:val="bottom"/>
          </w:tcPr>
          <w:p>
            <w:pPr>
              <w:jc w:val="center"/>
              <w:ind w:left="1110"/>
              <w:spacing w:after="0"/>
              <w:rPr>
                <w:sz w:val="20"/>
                <w:szCs w:val="20"/>
                <w:color w:val="auto"/>
              </w:rPr>
            </w:pPr>
            <w:r>
              <w:rPr>
                <w:rFonts w:ascii="Arial" w:cs="Arial" w:eastAsia="Arial" w:hAnsi="Arial"/>
                <w:sz w:val="18"/>
                <w:szCs w:val="18"/>
                <w:color w:val="auto"/>
                <w:w w:val="93"/>
              </w:rPr>
              <w:t>(I.R.S. Employer</w:t>
            </w:r>
          </w:p>
        </w:tc>
      </w:tr>
      <w:tr>
        <w:trPr>
          <w:trHeight w:val="230"/>
        </w:trPr>
        <w:tc>
          <w:tcPr>
            <w:tcW w:w="3380" w:type="dxa"/>
            <w:vAlign w:val="bottom"/>
            <w:gridSpan w:val="2"/>
          </w:tcPr>
          <w:p>
            <w:pPr>
              <w:jc w:val="center"/>
              <w:ind w:left="370"/>
              <w:spacing w:after="0"/>
              <w:rPr>
                <w:sz w:val="20"/>
                <w:szCs w:val="20"/>
                <w:color w:val="auto"/>
              </w:rPr>
            </w:pPr>
            <w:r>
              <w:rPr>
                <w:rFonts w:ascii="Arial" w:cs="Arial" w:eastAsia="Arial" w:hAnsi="Arial"/>
                <w:sz w:val="18"/>
                <w:szCs w:val="18"/>
                <w:color w:val="auto"/>
                <w:w w:val="92"/>
              </w:rPr>
              <w:t>incorporation or organization)</w:t>
            </w:r>
          </w:p>
        </w:tc>
        <w:tc>
          <w:tcPr>
            <w:tcW w:w="114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3520" w:type="dxa"/>
            <w:vAlign w:val="bottom"/>
          </w:tcPr>
          <w:p>
            <w:pPr>
              <w:jc w:val="center"/>
              <w:ind w:left="1090"/>
              <w:spacing w:after="0"/>
              <w:rPr>
                <w:sz w:val="20"/>
                <w:szCs w:val="20"/>
                <w:color w:val="auto"/>
              </w:rPr>
            </w:pPr>
            <w:r>
              <w:rPr>
                <w:rFonts w:ascii="Arial" w:cs="Arial" w:eastAsia="Arial" w:hAnsi="Arial"/>
                <w:sz w:val="18"/>
                <w:szCs w:val="18"/>
                <w:color w:val="auto"/>
                <w:w w:val="94"/>
              </w:rPr>
              <w:t>Identification Number)</w:t>
            </w:r>
          </w:p>
        </w:tc>
      </w:tr>
      <w:tr>
        <w:trPr>
          <w:trHeight w:val="414"/>
        </w:trPr>
        <w:tc>
          <w:tcPr>
            <w:tcW w:w="144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3600" w:type="dxa"/>
            <w:vAlign w:val="bottom"/>
            <w:gridSpan w:val="3"/>
          </w:tcPr>
          <w:p>
            <w:pPr>
              <w:jc w:val="center"/>
              <w:ind w:left="810"/>
              <w:spacing w:after="0"/>
              <w:rPr>
                <w:sz w:val="20"/>
                <w:szCs w:val="20"/>
                <w:color w:val="auto"/>
              </w:rPr>
            </w:pPr>
            <w:r>
              <w:rPr>
                <w:rFonts w:ascii="Arial" w:cs="Arial" w:eastAsia="Arial" w:hAnsi="Arial"/>
                <w:sz w:val="18"/>
                <w:szCs w:val="18"/>
                <w:b w:val="1"/>
                <w:bCs w:val="1"/>
                <w:color w:val="auto"/>
                <w:w w:val="92"/>
              </w:rPr>
              <w:t>616 N. North Court, Suite 120</w:t>
            </w:r>
          </w:p>
        </w:tc>
        <w:tc>
          <w:tcPr>
            <w:tcW w:w="3520" w:type="dxa"/>
            <w:vAlign w:val="bottom"/>
          </w:tcPr>
          <w:p>
            <w:pPr>
              <w:spacing w:after="0"/>
              <w:rPr>
                <w:sz w:val="24"/>
                <w:szCs w:val="24"/>
                <w:color w:val="auto"/>
              </w:rPr>
            </w:pPr>
          </w:p>
        </w:tc>
      </w:tr>
      <w:tr>
        <w:trPr>
          <w:trHeight w:val="220"/>
        </w:trPr>
        <w:tc>
          <w:tcPr>
            <w:tcW w:w="1440" w:type="dxa"/>
            <w:vAlign w:val="bottom"/>
          </w:tcPr>
          <w:p>
            <w:pPr>
              <w:spacing w:after="0"/>
              <w:rPr>
                <w:sz w:val="19"/>
                <w:szCs w:val="19"/>
                <w:color w:val="auto"/>
              </w:rPr>
            </w:pPr>
          </w:p>
        </w:tc>
        <w:tc>
          <w:tcPr>
            <w:tcW w:w="19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46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1"/>
              </w:rPr>
              <w:t>Palatine, Illinois 60067</w:t>
            </w:r>
          </w:p>
        </w:tc>
        <w:tc>
          <w:tcPr>
            <w:tcW w:w="3520" w:type="dxa"/>
            <w:vAlign w:val="bottom"/>
          </w:tcPr>
          <w:p>
            <w:pPr>
              <w:spacing w:after="0"/>
              <w:rPr>
                <w:sz w:val="19"/>
                <w:szCs w:val="19"/>
                <w:color w:val="auto"/>
              </w:rPr>
            </w:pPr>
          </w:p>
        </w:tc>
      </w:tr>
      <w:tr>
        <w:trPr>
          <w:trHeight w:val="230"/>
        </w:trPr>
        <w:tc>
          <w:tcPr>
            <w:tcW w:w="1440" w:type="dxa"/>
            <w:vAlign w:val="bottom"/>
          </w:tcPr>
          <w:p>
            <w:pPr>
              <w:spacing w:after="0"/>
              <w:rPr>
                <w:sz w:val="20"/>
                <w:szCs w:val="20"/>
                <w:color w:val="auto"/>
              </w:rPr>
            </w:pPr>
          </w:p>
        </w:tc>
        <w:tc>
          <w:tcPr>
            <w:tcW w:w="1940" w:type="dxa"/>
            <w:vAlign w:val="bottom"/>
          </w:tcPr>
          <w:p>
            <w:pPr>
              <w:spacing w:after="0"/>
              <w:rPr>
                <w:sz w:val="20"/>
                <w:szCs w:val="20"/>
                <w:color w:val="auto"/>
              </w:rPr>
            </w:pPr>
          </w:p>
        </w:tc>
        <w:tc>
          <w:tcPr>
            <w:tcW w:w="7120" w:type="dxa"/>
            <w:vAlign w:val="bottom"/>
            <w:gridSpan w:val="4"/>
          </w:tcPr>
          <w:p>
            <w:pPr>
              <w:jc w:val="center"/>
              <w:ind w:right="2530"/>
              <w:spacing w:after="0"/>
              <w:rPr>
                <w:sz w:val="20"/>
                <w:szCs w:val="20"/>
                <w:color w:val="auto"/>
              </w:rPr>
            </w:pPr>
            <w:r>
              <w:rPr>
                <w:rFonts w:ascii="Arial" w:cs="Arial" w:eastAsia="Arial" w:hAnsi="Arial"/>
                <w:sz w:val="18"/>
                <w:szCs w:val="18"/>
                <w:color w:val="auto"/>
                <w:w w:val="92"/>
              </w:rPr>
              <w:t>(Address of principal executive offices) (Zip code)</w:t>
            </w:r>
          </w:p>
        </w:tc>
      </w:tr>
      <w:tr>
        <w:trPr>
          <w:trHeight w:val="418"/>
        </w:trPr>
        <w:tc>
          <w:tcPr>
            <w:tcW w:w="144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3600" w:type="dxa"/>
            <w:vAlign w:val="bottom"/>
            <w:gridSpan w:val="3"/>
          </w:tcPr>
          <w:p>
            <w:pPr>
              <w:jc w:val="center"/>
              <w:ind w:left="790"/>
              <w:spacing w:after="0"/>
              <w:rPr>
                <w:sz w:val="20"/>
                <w:szCs w:val="20"/>
                <w:color w:val="auto"/>
              </w:rPr>
            </w:pPr>
            <w:r>
              <w:rPr>
                <w:rFonts w:ascii="Arial" w:cs="Arial" w:eastAsia="Arial" w:hAnsi="Arial"/>
                <w:sz w:val="18"/>
                <w:szCs w:val="18"/>
                <w:b w:val="1"/>
                <w:bCs w:val="1"/>
                <w:color w:val="auto"/>
                <w:w w:val="90"/>
              </w:rPr>
              <w:t>(847) 705-7709</w:t>
            </w:r>
          </w:p>
        </w:tc>
        <w:tc>
          <w:tcPr>
            <w:tcW w:w="3520" w:type="dxa"/>
            <w:vAlign w:val="bottom"/>
          </w:tcPr>
          <w:p>
            <w:pPr>
              <w:spacing w:after="0"/>
              <w:rPr>
                <w:sz w:val="24"/>
                <w:szCs w:val="24"/>
                <w:color w:val="auto"/>
              </w:rPr>
            </w:pPr>
          </w:p>
        </w:tc>
      </w:tr>
      <w:tr>
        <w:trPr>
          <w:trHeight w:val="230"/>
        </w:trPr>
        <w:tc>
          <w:tcPr>
            <w:tcW w:w="1440" w:type="dxa"/>
            <w:vAlign w:val="bottom"/>
          </w:tcPr>
          <w:p>
            <w:pPr>
              <w:spacing w:after="0"/>
              <w:rPr>
                <w:sz w:val="20"/>
                <w:szCs w:val="20"/>
                <w:color w:val="auto"/>
              </w:rPr>
            </w:pPr>
          </w:p>
        </w:tc>
        <w:tc>
          <w:tcPr>
            <w:tcW w:w="1940" w:type="dxa"/>
            <w:vAlign w:val="bottom"/>
          </w:tcPr>
          <w:p>
            <w:pPr>
              <w:spacing w:after="0"/>
              <w:rPr>
                <w:sz w:val="20"/>
                <w:szCs w:val="20"/>
                <w:color w:val="auto"/>
              </w:rPr>
            </w:pPr>
          </w:p>
        </w:tc>
        <w:tc>
          <w:tcPr>
            <w:tcW w:w="7120" w:type="dxa"/>
            <w:vAlign w:val="bottom"/>
            <w:gridSpan w:val="4"/>
          </w:tcPr>
          <w:p>
            <w:pPr>
              <w:jc w:val="center"/>
              <w:ind w:right="2550"/>
              <w:spacing w:after="0"/>
              <w:rPr>
                <w:sz w:val="20"/>
                <w:szCs w:val="20"/>
                <w:color w:val="auto"/>
              </w:rPr>
            </w:pPr>
            <w:r>
              <w:rPr>
                <w:rFonts w:ascii="Arial" w:cs="Arial" w:eastAsia="Arial" w:hAnsi="Arial"/>
                <w:sz w:val="18"/>
                <w:szCs w:val="18"/>
                <w:color w:val="auto"/>
                <w:w w:val="89"/>
              </w:rPr>
              <w:t>(Registrant’s telephone number, including area code)</w:t>
            </w:r>
          </w:p>
        </w:tc>
      </w:tr>
      <w:tr>
        <w:trPr>
          <w:trHeight w:val="432"/>
        </w:trPr>
        <w:tc>
          <w:tcPr>
            <w:tcW w:w="6980" w:type="dxa"/>
            <w:vAlign w:val="bottom"/>
            <w:gridSpan w:val="5"/>
          </w:tcPr>
          <w:p>
            <w:pPr>
              <w:spacing w:after="0"/>
              <w:rPr>
                <w:sz w:val="20"/>
                <w:szCs w:val="20"/>
                <w:color w:val="auto"/>
              </w:rPr>
            </w:pPr>
            <w:r>
              <w:rPr>
                <w:rFonts w:ascii="Arial" w:cs="Arial" w:eastAsia="Arial" w:hAnsi="Arial"/>
                <w:sz w:val="18"/>
                <w:szCs w:val="18"/>
                <w:color w:val="auto"/>
              </w:rPr>
              <w:t>Securities registered pursuant to Section 12(b) of the Act:</w:t>
            </w:r>
          </w:p>
        </w:tc>
        <w:tc>
          <w:tcPr>
            <w:tcW w:w="3520" w:type="dxa"/>
            <w:vAlign w:val="bottom"/>
          </w:tcPr>
          <w:p>
            <w:pPr>
              <w:spacing w:after="0"/>
              <w:rPr>
                <w:sz w:val="24"/>
                <w:szCs w:val="24"/>
                <w:color w:val="auto"/>
              </w:rPr>
            </w:pPr>
          </w:p>
        </w:tc>
      </w:tr>
      <w:tr>
        <w:trPr>
          <w:trHeight w:val="391"/>
        </w:trPr>
        <w:tc>
          <w:tcPr>
            <w:tcW w:w="3380" w:type="dxa"/>
            <w:vAlign w:val="bottom"/>
            <w:gridSpan w:val="2"/>
          </w:tcPr>
          <w:p>
            <w:pPr>
              <w:spacing w:after="0"/>
              <w:rPr>
                <w:sz w:val="20"/>
                <w:szCs w:val="20"/>
                <w:color w:val="auto"/>
              </w:rPr>
            </w:pPr>
            <w:r>
              <w:rPr>
                <w:rFonts w:ascii="Arial" w:cs="Arial" w:eastAsia="Arial" w:hAnsi="Arial"/>
                <w:sz w:val="18"/>
                <w:szCs w:val="18"/>
                <w:b w:val="1"/>
                <w:bCs w:val="1"/>
                <w:color w:val="auto"/>
              </w:rPr>
              <w:t>Title of Each Class</w:t>
            </w:r>
          </w:p>
        </w:tc>
        <w:tc>
          <w:tcPr>
            <w:tcW w:w="1140" w:type="dxa"/>
            <w:vAlign w:val="bottom"/>
          </w:tcPr>
          <w:p>
            <w:pPr>
              <w:spacing w:after="0"/>
              <w:rPr>
                <w:sz w:val="24"/>
                <w:szCs w:val="24"/>
                <w:color w:val="auto"/>
              </w:rPr>
            </w:pPr>
          </w:p>
        </w:tc>
        <w:tc>
          <w:tcPr>
            <w:tcW w:w="2460" w:type="dxa"/>
            <w:vAlign w:val="bottom"/>
            <w:gridSpan w:val="2"/>
          </w:tcPr>
          <w:p>
            <w:pPr>
              <w:spacing w:after="0"/>
              <w:rPr>
                <w:sz w:val="20"/>
                <w:szCs w:val="20"/>
                <w:color w:val="auto"/>
              </w:rPr>
            </w:pPr>
            <w:r>
              <w:rPr>
                <w:rFonts w:ascii="Arial" w:cs="Arial" w:eastAsia="Arial" w:hAnsi="Arial"/>
                <w:sz w:val="18"/>
                <w:szCs w:val="18"/>
                <w:b w:val="1"/>
                <w:bCs w:val="1"/>
                <w:color w:val="auto"/>
              </w:rPr>
              <w:t>Trading Symbol(s)</w:t>
            </w:r>
          </w:p>
        </w:tc>
        <w:tc>
          <w:tcPr>
            <w:tcW w:w="3520" w:type="dxa"/>
            <w:vAlign w:val="bottom"/>
          </w:tcPr>
          <w:p>
            <w:pPr>
              <w:spacing w:after="0"/>
              <w:rPr>
                <w:sz w:val="20"/>
                <w:szCs w:val="20"/>
                <w:color w:val="auto"/>
              </w:rPr>
            </w:pPr>
            <w:r>
              <w:rPr>
                <w:rFonts w:ascii="Arial" w:cs="Arial" w:eastAsia="Arial" w:hAnsi="Arial"/>
                <w:sz w:val="18"/>
                <w:szCs w:val="18"/>
                <w:b w:val="1"/>
                <w:bCs w:val="1"/>
                <w:color w:val="auto"/>
                <w:w w:val="89"/>
              </w:rPr>
              <w:t>Name of Each Exchange on Which Registered</w:t>
            </w:r>
          </w:p>
        </w:tc>
      </w:tr>
      <w:tr>
        <w:trPr>
          <w:trHeight w:val="20"/>
        </w:trPr>
        <w:tc>
          <w:tcPr>
            <w:tcW w:w="1440" w:type="dxa"/>
            <w:vAlign w:val="bottom"/>
            <w:shd w:val="clear" w:color="auto" w:fill="000000"/>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420" w:type="dxa"/>
            <w:vAlign w:val="bottom"/>
            <w:shd w:val="clear" w:color="auto" w:fill="000000"/>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3520" w:type="dxa"/>
            <w:vAlign w:val="bottom"/>
            <w:shd w:val="clear" w:color="auto" w:fill="000000"/>
          </w:tcPr>
          <w:p>
            <w:pPr>
              <w:spacing w:after="0" w:line="20" w:lineRule="exact"/>
              <w:rPr>
                <w:sz w:val="1"/>
                <w:szCs w:val="1"/>
                <w:color w:val="auto"/>
              </w:rPr>
            </w:pPr>
          </w:p>
        </w:tc>
      </w:tr>
      <w:tr>
        <w:trPr>
          <w:trHeight w:val="237"/>
        </w:trPr>
        <w:tc>
          <w:tcPr>
            <w:tcW w:w="3380" w:type="dxa"/>
            <w:vAlign w:val="bottom"/>
            <w:gridSpan w:val="2"/>
          </w:tcPr>
          <w:p>
            <w:pPr>
              <w:spacing w:after="0"/>
              <w:rPr>
                <w:sz w:val="20"/>
                <w:szCs w:val="20"/>
                <w:color w:val="auto"/>
              </w:rPr>
            </w:pPr>
            <w:r>
              <w:rPr>
                <w:rFonts w:ascii="Arial" w:cs="Arial" w:eastAsia="Arial" w:hAnsi="Arial"/>
                <w:sz w:val="18"/>
                <w:szCs w:val="18"/>
                <w:color w:val="auto"/>
                <w:w w:val="99"/>
              </w:rPr>
              <w:t>Common Stock, $0.01 par value per share</w:t>
            </w:r>
          </w:p>
        </w:tc>
        <w:tc>
          <w:tcPr>
            <w:tcW w:w="1140" w:type="dxa"/>
            <w:vAlign w:val="bottom"/>
          </w:tcPr>
          <w:p>
            <w:pPr>
              <w:spacing w:after="0"/>
              <w:rPr>
                <w:sz w:val="20"/>
                <w:szCs w:val="20"/>
                <w:color w:val="auto"/>
              </w:rPr>
            </w:pPr>
          </w:p>
        </w:tc>
        <w:tc>
          <w:tcPr>
            <w:tcW w:w="2460" w:type="dxa"/>
            <w:vAlign w:val="bottom"/>
            <w:gridSpan w:val="2"/>
          </w:tcPr>
          <w:p>
            <w:pPr>
              <w:spacing w:after="0"/>
              <w:rPr>
                <w:sz w:val="20"/>
                <w:szCs w:val="20"/>
                <w:color w:val="auto"/>
              </w:rPr>
            </w:pPr>
            <w:r>
              <w:rPr>
                <w:rFonts w:ascii="Arial" w:cs="Arial" w:eastAsia="Arial" w:hAnsi="Arial"/>
                <w:sz w:val="18"/>
                <w:szCs w:val="18"/>
                <w:color w:val="auto"/>
              </w:rPr>
              <w:t>ACUR</w:t>
            </w:r>
          </w:p>
        </w:tc>
        <w:tc>
          <w:tcPr>
            <w:tcW w:w="3520" w:type="dxa"/>
            <w:vAlign w:val="bottom"/>
          </w:tcPr>
          <w:p>
            <w:pPr>
              <w:spacing w:after="0"/>
              <w:rPr>
                <w:sz w:val="20"/>
                <w:szCs w:val="20"/>
                <w:color w:val="auto"/>
              </w:rPr>
            </w:pPr>
            <w:r>
              <w:rPr>
                <w:rFonts w:ascii="Arial" w:cs="Arial" w:eastAsia="Arial" w:hAnsi="Arial"/>
                <w:sz w:val="18"/>
                <w:szCs w:val="18"/>
                <w:color w:val="auto"/>
              </w:rPr>
              <w:t>OTCQB Market</w:t>
            </w:r>
          </w:p>
        </w:tc>
      </w:tr>
    </w:tbl>
    <w:p>
      <w:pPr>
        <w:spacing w:after="0" w:line="202"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p>
      <w:pPr>
        <w:ind w:left="660" w:hanging="652"/>
        <w:spacing w:after="0"/>
        <w:tabs>
          <w:tab w:leader="none" w:pos="6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660" w:hanging="652"/>
        <w:spacing w:after="0"/>
        <w:tabs>
          <w:tab w:leader="none" w:pos="6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660" w:hanging="652"/>
        <w:spacing w:after="0"/>
        <w:tabs>
          <w:tab w:leader="none" w:pos="6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(17CFR 240.14d-2(b))</w:t>
      </w:r>
    </w:p>
    <w:p>
      <w:pPr>
        <w:spacing w:after="0" w:line="225" w:lineRule="exact"/>
        <w:rPr>
          <w:rFonts w:ascii="MS PGothic" w:cs="MS PGothic" w:eastAsia="MS PGothic" w:hAnsi="MS PGothic"/>
          <w:sz w:val="18"/>
          <w:szCs w:val="18"/>
          <w:color w:val="auto"/>
        </w:rPr>
      </w:pPr>
    </w:p>
    <w:p>
      <w:pPr>
        <w:ind w:left="660" w:hanging="652"/>
        <w:spacing w:after="0"/>
        <w:tabs>
          <w:tab w:leader="none" w:pos="6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(17CFR 240.13e-4(c))</w:t>
      </w:r>
    </w:p>
    <w:p>
      <w:pPr>
        <w:spacing w:after="0" w:line="225" w:lineRule="exact"/>
        <w:rPr>
          <w:sz w:val="24"/>
          <w:szCs w:val="24"/>
          <w:color w:val="auto"/>
        </w:rPr>
      </w:pPr>
    </w:p>
    <w:p>
      <w:pPr>
        <w:ind w:right="20"/>
        <w:spacing w:after="0" w:line="255"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2"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16" w:lineRule="exact"/>
        <w:rPr>
          <w:sz w:val="24"/>
          <w:szCs w:val="24"/>
          <w:color w:val="auto"/>
        </w:rPr>
      </w:pPr>
    </w:p>
    <w:p>
      <w:pPr>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125095</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142240</wp:posOffset>
            </wp:positionV>
            <wp:extent cx="7132320" cy="254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441960</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78" w:right="33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2.02 - Results of Operations and Financial Condition</w:t>
      </w:r>
    </w:p>
    <w:p>
      <w:pPr>
        <w:spacing w:after="0" w:line="229" w:lineRule="exact"/>
        <w:rPr>
          <w:sz w:val="20"/>
          <w:szCs w:val="20"/>
          <w:color w:val="auto"/>
        </w:rPr>
      </w:pPr>
    </w:p>
    <w:p>
      <w:pPr>
        <w:spacing w:after="0" w:line="342" w:lineRule="auto"/>
        <w:rPr>
          <w:sz w:val="20"/>
          <w:szCs w:val="20"/>
          <w:color w:val="auto"/>
        </w:rPr>
      </w:pPr>
      <w:r>
        <w:rPr>
          <w:rFonts w:ascii="Arial" w:cs="Arial" w:eastAsia="Arial" w:hAnsi="Arial"/>
          <w:sz w:val="16"/>
          <w:szCs w:val="16"/>
          <w:color w:val="auto"/>
        </w:rPr>
        <w:t>On March 31, 2021, Acura Pharmaceuticals, Inc. issued a press release announcing its financial results for its three and twelve months ended December 31, 2020. A copy of that press release and the attached financial schedules are attached as Exhibit 99.1 to this report and incorporated herein by reference.</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 Financial Statements and Exhibits</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480" w:type="dxa"/>
            <w:vAlign w:val="bottom"/>
            <w:gridSpan w:val="3"/>
          </w:tcPr>
          <w:p>
            <w:pPr>
              <w:spacing w:after="0"/>
              <w:rPr>
                <w:sz w:val="20"/>
                <w:szCs w:val="20"/>
                <w:color w:val="auto"/>
              </w:rPr>
            </w:pPr>
            <w:r>
              <w:rPr>
                <w:rFonts w:ascii="Arial" w:cs="Arial" w:eastAsia="Arial" w:hAnsi="Arial"/>
                <w:sz w:val="18"/>
                <w:szCs w:val="18"/>
                <w:b w:val="1"/>
                <w:bCs w:val="1"/>
                <w:color w:val="auto"/>
              </w:rPr>
              <w:t>Exhibit Number</w:t>
            </w:r>
          </w:p>
        </w:tc>
        <w:tc>
          <w:tcPr>
            <w:tcW w:w="4060" w:type="dxa"/>
            <w:vAlign w:val="bottom"/>
            <w:gridSpan w:val="3"/>
          </w:tcPr>
          <w:p>
            <w:pPr>
              <w:ind w:left="220"/>
              <w:spacing w:after="0"/>
              <w:rPr>
                <w:sz w:val="20"/>
                <w:szCs w:val="20"/>
                <w:color w:val="auto"/>
              </w:rPr>
            </w:pPr>
            <w:r>
              <w:rPr>
                <w:rFonts w:ascii="Arial" w:cs="Arial" w:eastAsia="Arial" w:hAnsi="Arial"/>
                <w:sz w:val="18"/>
                <w:szCs w:val="18"/>
                <w:b w:val="1"/>
                <w:bCs w:val="1"/>
                <w:color w:val="auto"/>
              </w:rPr>
              <w:t>Description</w:t>
            </w:r>
          </w:p>
        </w:tc>
      </w:tr>
      <w:tr>
        <w:trPr>
          <w:trHeight w:val="20"/>
        </w:trPr>
        <w:tc>
          <w:tcPr>
            <w:tcW w:w="32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960" w:type="dxa"/>
            <w:vAlign w:val="bottom"/>
          </w:tcPr>
          <w:p>
            <w:pPr>
              <w:spacing w:after="0" w:line="20" w:lineRule="exact"/>
              <w:rPr>
                <w:sz w:val="1"/>
                <w:szCs w:val="1"/>
                <w:color w:val="auto"/>
              </w:rPr>
            </w:pPr>
          </w:p>
        </w:tc>
      </w:tr>
      <w:tr>
        <w:trPr>
          <w:trHeight w:val="196"/>
        </w:trPr>
        <w:tc>
          <w:tcPr>
            <w:tcW w:w="320" w:type="dxa"/>
            <w:vAlign w:val="bottom"/>
          </w:tcPr>
          <w:p>
            <w:pPr>
              <w:spacing w:after="0" w:line="196" w:lineRule="exact"/>
              <w:rPr>
                <w:rFonts w:ascii="Arial" w:cs="Arial" w:eastAsia="Arial" w:hAnsi="Arial"/>
                <w:sz w:val="18"/>
                <w:szCs w:val="18"/>
                <w:color w:val="0000EE"/>
                <w:w w:val="85"/>
              </w:rPr>
            </w:pPr>
            <w:hyperlink w:anchor="page3">
              <w:r>
                <w:rPr>
                  <w:rFonts w:ascii="Arial" w:cs="Arial" w:eastAsia="Arial" w:hAnsi="Arial"/>
                  <w:sz w:val="18"/>
                  <w:szCs w:val="18"/>
                  <w:color w:val="0000EE"/>
                  <w:w w:val="85"/>
                </w:rPr>
                <w:t>99.</w:t>
              </w:r>
              <w:r>
                <w:rPr>
                  <w:rFonts w:ascii="Arial" w:cs="Arial" w:eastAsia="Arial" w:hAnsi="Arial"/>
                  <w:sz w:val="18"/>
                  <w:szCs w:val="18"/>
                  <w:u w:val="single" w:color="auto"/>
                  <w:color w:val="0000EE"/>
                  <w:w w:val="85"/>
                </w:rPr>
                <w:t>1</w:t>
              </w:r>
            </w:hyperlink>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060" w:type="dxa"/>
            <w:vAlign w:val="bottom"/>
            <w:gridSpan w:val="3"/>
          </w:tcPr>
          <w:p>
            <w:pPr>
              <w:ind w:left="220"/>
              <w:spacing w:after="0" w:line="196" w:lineRule="exact"/>
              <w:rPr>
                <w:rFonts w:ascii="Arial" w:cs="Arial" w:eastAsia="Arial" w:hAnsi="Arial"/>
                <w:sz w:val="18"/>
                <w:szCs w:val="18"/>
                <w:color w:val="0000EE"/>
                <w:w w:val="87"/>
              </w:rPr>
            </w:pPr>
            <w:hyperlink w:anchor="page3">
              <w:r>
                <w:rPr>
                  <w:rFonts w:ascii="Arial" w:cs="Arial" w:eastAsia="Arial" w:hAnsi="Arial"/>
                  <w:sz w:val="18"/>
                  <w:szCs w:val="18"/>
                  <w:color w:val="0000EE"/>
                  <w:w w:val="87"/>
                </w:rPr>
                <w:t>Press Release of the Registrant dated March 31, 2021</w:t>
              </w:r>
            </w:hyperlink>
          </w:p>
        </w:tc>
      </w:tr>
      <w:tr>
        <w:trPr>
          <w:trHeight w:val="20"/>
        </w:trPr>
        <w:tc>
          <w:tcPr>
            <w:tcW w:w="320" w:type="dxa"/>
            <w:vAlign w:val="bottom"/>
            <w:shd w:val="clear" w:color="auto" w:fill="0000EE"/>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80" w:type="dxa"/>
            <w:vAlign w:val="bottom"/>
            <w:shd w:val="clear" w:color="auto" w:fill="0000EE"/>
          </w:tcPr>
          <w:p>
            <w:pPr>
              <w:spacing w:after="0" w:line="20" w:lineRule="exact"/>
              <w:rPr>
                <w:sz w:val="1"/>
                <w:szCs w:val="1"/>
                <w:color w:val="auto"/>
              </w:rPr>
            </w:pPr>
          </w:p>
        </w:tc>
        <w:tc>
          <w:tcPr>
            <w:tcW w:w="2960" w:type="dxa"/>
            <w:vAlign w:val="bottom"/>
            <w:shd w:val="clear" w:color="auto" w:fill="0000EE"/>
          </w:tcPr>
          <w:p>
            <w:pPr>
              <w:spacing w:after="0" w:line="20" w:lineRule="exact"/>
              <w:rPr>
                <w:sz w:val="1"/>
                <w:szCs w:val="1"/>
                <w:color w:val="auto"/>
              </w:rPr>
            </w:pPr>
          </w:p>
        </w:tc>
      </w:tr>
    </w:tbl>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398" w:lineRule="exact"/>
        <w:rPr>
          <w:sz w:val="20"/>
          <w:szCs w:val="20"/>
          <w:color w:val="auto"/>
        </w:rPr>
      </w:pPr>
    </w:p>
    <w:p>
      <w:pPr>
        <w:spacing w:after="0"/>
        <w:tabs>
          <w:tab w:leader="none" w:pos="4480" w:val="left"/>
        </w:tabs>
        <w:rPr>
          <w:sz w:val="20"/>
          <w:szCs w:val="20"/>
          <w:color w:val="auto"/>
        </w:rPr>
      </w:pPr>
      <w:r>
        <w:rPr>
          <w:rFonts w:ascii="Arial" w:cs="Arial" w:eastAsia="Arial" w:hAnsi="Arial"/>
          <w:sz w:val="18"/>
          <w:szCs w:val="18"/>
          <w:color w:val="auto"/>
        </w:rPr>
        <w:t>Date: April 1, 2021</w:t>
      </w:r>
      <w:r>
        <w:rPr>
          <w:sz w:val="20"/>
          <w:szCs w:val="20"/>
          <w:color w:val="auto"/>
        </w:rPr>
        <w:tab/>
      </w:r>
      <w:r>
        <w:rPr>
          <w:rFonts w:ascii="Arial" w:cs="Arial" w:eastAsia="Arial" w:hAnsi="Arial"/>
          <w:sz w:val="18"/>
          <w:szCs w:val="18"/>
          <w:b w:val="1"/>
          <w:bCs w:val="1"/>
          <w:color w:val="auto"/>
        </w:rPr>
        <w:t>ACURA PHARMACEUTICALS, INC.</w:t>
      </w:r>
    </w:p>
    <w:p>
      <w:pPr>
        <w:spacing w:after="0" w:line="229" w:lineRule="exact"/>
        <w:rPr>
          <w:sz w:val="20"/>
          <w:szCs w:val="20"/>
          <w:color w:val="auto"/>
        </w:rPr>
      </w:pPr>
    </w:p>
    <w:p>
      <w:pPr>
        <w:ind w:left="4500"/>
        <w:spacing w:after="0"/>
        <w:tabs>
          <w:tab w:leader="none" w:pos="4940" w:val="left"/>
        </w:tabs>
        <w:rPr>
          <w:sz w:val="20"/>
          <w:szCs w:val="20"/>
          <w:color w:val="auto"/>
        </w:rPr>
      </w:pPr>
      <w:r>
        <w:rPr>
          <w:rFonts w:ascii="Arial" w:cs="Arial" w:eastAsia="Arial" w:hAnsi="Arial"/>
          <w:sz w:val="18"/>
          <w:szCs w:val="18"/>
          <w:color w:val="auto"/>
        </w:rPr>
        <w:t>By:</w:t>
        <w:tab/>
        <w:t>/s/ Peter A. Clemens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3150870</wp:posOffset>
            </wp:positionH>
            <wp:positionV relativeFrom="paragraph">
              <wp:posOffset>14605</wp:posOffset>
            </wp:positionV>
            <wp:extent cx="256286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3" w:lineRule="exact"/>
        <w:rPr>
          <w:sz w:val="20"/>
          <w:szCs w:val="20"/>
          <w:color w:val="auto"/>
        </w:rPr>
      </w:pPr>
    </w:p>
    <w:p>
      <w:pPr>
        <w:ind w:left="4960"/>
        <w:spacing w:after="0"/>
        <w:rPr>
          <w:sz w:val="20"/>
          <w:szCs w:val="20"/>
          <w:color w:val="auto"/>
        </w:rPr>
      </w:pPr>
      <w:r>
        <w:rPr>
          <w:rFonts w:ascii="Arial" w:cs="Arial" w:eastAsia="Arial" w:hAnsi="Arial"/>
          <w:sz w:val="18"/>
          <w:szCs w:val="18"/>
          <w:color w:val="auto"/>
        </w:rPr>
        <w:t>Peter A. Clemens</w:t>
      </w:r>
    </w:p>
    <w:p>
      <w:pPr>
        <w:spacing w:after="0" w:line="23" w:lineRule="exact"/>
        <w:rPr>
          <w:sz w:val="20"/>
          <w:szCs w:val="20"/>
          <w:color w:val="auto"/>
        </w:rPr>
      </w:pPr>
    </w:p>
    <w:p>
      <w:pPr>
        <w:ind w:left="4960"/>
        <w:spacing w:after="0"/>
        <w:rPr>
          <w:sz w:val="20"/>
          <w:szCs w:val="20"/>
          <w:color w:val="auto"/>
        </w:rPr>
      </w:pPr>
      <w:r>
        <w:rPr>
          <w:rFonts w:ascii="Arial" w:cs="Arial" w:eastAsia="Arial" w:hAnsi="Arial"/>
          <w:sz w:val="18"/>
          <w:szCs w:val="18"/>
          <w:color w:val="auto"/>
        </w:rPr>
        <w:t>Senior Vice President &amp; Chief Financial Officer</w:t>
      </w:r>
    </w:p>
    <w:p>
      <w:pPr>
        <w:spacing w:after="0" w:line="200" w:lineRule="exact"/>
        <w:rPr>
          <w:sz w:val="20"/>
          <w:szCs w:val="20"/>
          <w:color w:val="auto"/>
        </w:rPr>
      </w:pPr>
    </w:p>
    <w:p>
      <w:pPr>
        <w:spacing w:after="0" w:line="2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 w:name="page3"/>
    <w:bookmarkEnd w:id="2"/>
    <w:p>
      <w:pPr>
        <w:ind w:left="10120"/>
        <w:spacing w:after="0"/>
        <w:rPr>
          <w:sz w:val="20"/>
          <w:szCs w:val="20"/>
          <w:color w:val="auto"/>
        </w:rPr>
      </w:pPr>
      <w:r>
        <w:rPr>
          <w:rFonts w:ascii="Arial" w:cs="Arial" w:eastAsia="Arial" w:hAnsi="Arial"/>
          <w:sz w:val="19"/>
          <w:szCs w:val="19"/>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2216785</wp:posOffset>
            </wp:positionH>
            <wp:positionV relativeFrom="paragraph">
              <wp:posOffset>187960</wp:posOffset>
            </wp:positionV>
            <wp:extent cx="2682875" cy="12084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2682875" cy="12084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Acura Pharmaceuticals Announces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Fourth Quarter and Full Year 2020 Financial Results</w:t>
      </w:r>
    </w:p>
    <w:p>
      <w:pPr>
        <w:spacing w:after="0" w:line="21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Palatine, IL – (March 31, 2021) - Acura Pharmaceuticals, Inc. (OTCQB: ACUR), an innovative drug delivery company engaged in the research, development and commercialization of technologies and products intended to address safe use of medications, announced today financial results for the three and twelve months ended December 31, 2020.</w:t>
      </w:r>
    </w:p>
    <w:p>
      <w:pPr>
        <w:spacing w:after="0" w:line="18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 reported an operating loss of $0.1 million for the fourth quarter 2020 compared to an operating income of $0.3 million for the same period in 2019. For the twelve months ended December 31, 2020, the Company reported an operating loss of $0.8 million compared to an operating loss of $0.7 million for the same period in 2019. Included in expenses for the results for 2020 was a one-time charge of $668 thousand to recognize an impairment in our Aversion intangible asset.</w:t>
      </w:r>
    </w:p>
    <w:p>
      <w:pPr>
        <w:spacing w:after="0" w:line="187"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The Company reported net loss of $0.1 million or $0.01 per diluted share for the fourth quarter 2020 compared to net income of $0.2 million or $0.00 per diluted share for the same period in 2019. For the twelve months ended December 31, 2020, the Company reported a net loss of $1.2 million or $0.04 per diluted share compared to a net loss of $3.8 million or $0.14 per diluted share for the same period in 2019. Included in the results for 2019 is a one-time expense of $2.6 million due to the extinguishment of debt associated with the June 2019 transaction with Abuse Deterrent Pharma, LLC.</w:t>
      </w:r>
    </w:p>
    <w:p>
      <w:pPr>
        <w:spacing w:after="0" w:line="15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For the twelve months ended December 31, 2020, the Company recorded $3.0 million in license fees, $0.2 million in collaboration revenue and $0.1 million in royalty revenue. In 2019 the Company recorded $2.1 million in license fees, $0.2 million in collaboration revenue and $0.4 million in royalty revenue. Both the license fee revenue and the collaboration revenue are derived from the license agreement with Abuse Deterrent Pharma executed in June 2019 and amended in October 2020.</w:t>
      </w:r>
    </w:p>
    <w:p>
      <w:pPr>
        <w:spacing w:after="0" w:line="187"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Research and development expense was $1.8 million for the twelve month period ended December 31, 2020, compared to $1.5 million for the same period in 2019. These expenses were $0.4 million for the fourth quarter 2020, compared to $0.5 million for the same period in 2019. The expenses for both years were primarily associated with development of LTX-03 under the license agreement with Abuse Deterrent Pharma.</w:t>
      </w:r>
    </w:p>
    <w:p>
      <w:pPr>
        <w:spacing w:after="0" w:line="16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General and administrative expense was $2.5 million for the twelve month period ended December 31, 2020, versus $1.9 million in the same period last year. These expenses were $0.4 million for the fourth quarter 2020, compared to $0.5 million for the same period in 2019.</w:t>
      </w:r>
    </w:p>
    <w:p>
      <w:pPr>
        <w:spacing w:after="0" w:line="170"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As of March 30, 2021, the Company had a cash balance of approximately $350 thousand. AD Pharma is delinquent in the remittance of the required $200 thousand monthly license payments for December, 2020 thru March, 2021 as well as approximately $100 thousand of reimbursable LTX-03 development expenses. Failure to make these payments are an event of default under the Agreement, as amended. Based upon representations by AD Pharma, we anticipate receipt of these past due amounts by April 30, 2021 and payment obligations through July, 2021, although no assurance can be given.</w:t>
      </w:r>
    </w:p>
    <w:p>
      <w:pPr>
        <w:spacing w:after="0" w:line="157"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On June 28, 2019, we entered into License, Development and Commercialization Agreement with Abuse Deterrent Pharma, LLC, which was amended in October 2020 (the "Agreement"). The Agreement grants AD Pharma exclusive commercialization rights for our lead product candidate, LTX-03 (hydrocodone bitartrate with acetaminophen immediate-release tablets utilizing Acura’s patented LIMITx™ technology). Financial arrangements include monthly license payments to Acura by AD Pharma of $350,000 from inception through April 2020 and $200,000 thereafter until July 31, 2021 or FDA’s acceptance of a New Drug Application (“NDA”) for LTX-03 and reimbursement by AD Pharma of Acura’s LTX-03 outside development expenses. Upon commercialization of LTX-03, Acura will be entitled to stepped royalties on sales and is eligible for certain sales related milestones. However, if the NDA application for LTX-03 is not accepted by the FDA by July 31, 2021, AD Pharma has the option of terminating the Agreement and taking ownership of the intellectual property. Acura currently expects the submission and FDA acceptance of the NDA to occur after July 31, 2021 and has notified AD Pharma of this revised timeline. Acura is currently in discussions with AD Pharma to amend the Agreement. There can be no assurance that AD Pharma will agree to extend the NDA filing acceptance date or that they will not take ownership of the intellectual property. The Agreement is more fully described in our press releases dated July 2, 2019 and October 28, 2020 as well as in our Form 8-Ks filed July 5, 2019 and October 29,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255270</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3" w:name="page4"/>
    <w:bookmarkEnd w:id="3"/>
    <w:p>
      <w:pPr>
        <w:spacing w:after="0"/>
        <w:rPr>
          <w:sz w:val="20"/>
          <w:szCs w:val="20"/>
          <w:color w:val="auto"/>
        </w:rPr>
      </w:pPr>
      <w:r>
        <w:rPr>
          <w:rFonts w:ascii="Arial" w:cs="Arial" w:eastAsia="Arial" w:hAnsi="Arial"/>
          <w:sz w:val="18"/>
          <w:szCs w:val="18"/>
          <w:b w:val="1"/>
          <w:bCs w:val="1"/>
          <w:u w:val="single" w:color="auto"/>
          <w:color w:val="auto"/>
        </w:rPr>
        <w:t>About Acura Pharmaceuticals</w:t>
      </w:r>
    </w:p>
    <w:p>
      <w:pPr>
        <w:spacing w:after="0" w:line="27" w:lineRule="exact"/>
        <w:rPr>
          <w:sz w:val="20"/>
          <w:szCs w:val="20"/>
          <w:color w:val="auto"/>
        </w:rPr>
      </w:pPr>
    </w:p>
    <w:p>
      <w:pPr>
        <w:jc w:val="both"/>
        <w:ind w:right="20"/>
        <w:spacing w:after="0" w:line="255" w:lineRule="auto"/>
        <w:rPr>
          <w:sz w:val="20"/>
          <w:szCs w:val="20"/>
          <w:color w:val="auto"/>
        </w:rPr>
      </w:pPr>
      <w:r>
        <w:rPr>
          <w:rFonts w:ascii="Arial" w:cs="Arial" w:eastAsia="Arial" w:hAnsi="Arial"/>
          <w:sz w:val="18"/>
          <w:szCs w:val="18"/>
          <w:color w:val="auto"/>
        </w:rPr>
        <w:t>Acura Pharmaceuticals is an innovative drug delivery company engaged in the research, development and commercialization of technologies and products intended to address safe use of medications. We have discovered and developed three proprietary platform technologies which can be used to develop multiple products: LIMITx™ Technology, AVERSION® Technology and IMPEDE® Technology.</w:t>
      </w:r>
    </w:p>
    <w:p>
      <w:pPr>
        <w:spacing w:after="0" w:line="194" w:lineRule="exact"/>
        <w:rPr>
          <w:sz w:val="20"/>
          <w:szCs w:val="20"/>
          <w:color w:val="auto"/>
        </w:rPr>
      </w:pPr>
    </w:p>
    <w:p>
      <w:pPr>
        <w:jc w:val="both"/>
        <w:spacing w:after="0" w:line="250" w:lineRule="auto"/>
        <w:rPr>
          <w:sz w:val="20"/>
          <w:szCs w:val="20"/>
          <w:color w:val="auto"/>
        </w:rPr>
      </w:pPr>
      <w:r>
        <w:rPr>
          <w:rFonts w:ascii="Arial" w:cs="Arial" w:eastAsia="Arial" w:hAnsi="Arial"/>
          <w:sz w:val="17"/>
          <w:szCs w:val="17"/>
          <w:color w:val="auto"/>
        </w:rPr>
        <w:t>LIMITx</w:t>
      </w:r>
      <w:r>
        <w:rPr>
          <w:rFonts w:ascii="Arial" w:cs="Arial" w:eastAsia="Arial" w:hAnsi="Arial"/>
          <w:sz w:val="28"/>
          <w:szCs w:val="28"/>
          <w:color w:val="auto"/>
          <w:vertAlign w:val="superscript"/>
        </w:rPr>
        <w:t>TM</w:t>
      </w:r>
      <w:r>
        <w:rPr>
          <w:rFonts w:ascii="Arial" w:cs="Arial" w:eastAsia="Arial" w:hAnsi="Arial"/>
          <w:sz w:val="17"/>
          <w:szCs w:val="17"/>
          <w:color w:val="auto"/>
        </w:rPr>
        <w:t xml:space="preserve"> Technology a development stage technology, is designed to retard the release of active drug ingredients when too many tablets are accidentally or purposefully ingested by neutralizing stomach acid with buffer ingredients but deliver efficacious amounts of drug when taken as a single tablet with a nominal buffer dose. In June 2019, we entered into License, Development and Commercialization Agreement, which was amended in October 2020 with Abuse Deterrent Pharma, LLC, a Kentucky limited liability company, a special purpose company representing a consortium of investors that will finance Acura’s operations through July 2021 and reimburse us for development of LTX-03. AD Pharma has exclusive commercialization rights in the United States to LTX-03 as well as to LTX-02 (oxycodone/acetaminophen) and LTX-09 (alprazolam).</w:t>
      </w:r>
    </w:p>
    <w:p>
      <w:pPr>
        <w:spacing w:after="0" w:line="19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AVERSION® Technology, used in the FDA approved drug OXAYDO® (oxycodone HCl) marketed by Assertio Holdings Inc., utilizes polymers designed to limit the abuse of the product by nasal snorting and injection. AVERSION® Technology is also licensed to KemPharm for use in certain of their products.</w:t>
      </w:r>
    </w:p>
    <w:p>
      <w:pPr>
        <w:spacing w:after="0" w:line="18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IMPEDE® Technology, used in NEXAFED® (pseudoephedrine HCl) and NEXAFED® Sinus (pseudoephedrine HCl/acetaminophen) marketed by MainPointe Pharmaceuticals, utilizes polymers and other ingredients to disrupt the extraction and processing of pseudoephedrine from the tablets into methamphetamine.</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Forward-looking Statements:</w:t>
      </w:r>
    </w:p>
    <w:p>
      <w:pPr>
        <w:spacing w:after="0" w:line="27"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Certain statements in this press release constitute “forward-looking statements” within the meaning of the Private Securities Litigation Reform Act of 1995. Such forward-looking statements involve known and unknown risks, uncertainties and other factors which may cause our actual results, performance or achievements to be materially different from any future results, performance, or achievements expressed or implied by such forward-looking statements. Forward-looking statements may include, but are not limited to:</w:t>
      </w:r>
    </w:p>
    <w:p>
      <w:pPr>
        <w:spacing w:after="0" w:line="193" w:lineRule="exact"/>
        <w:rPr>
          <w:sz w:val="20"/>
          <w:szCs w:val="20"/>
          <w:color w:val="auto"/>
        </w:rPr>
      </w:pPr>
    </w:p>
    <w:p>
      <w:pPr>
        <w:ind w:left="540" w:hanging="208"/>
        <w:spacing w:after="0" w:line="258" w:lineRule="auto"/>
        <w:tabs>
          <w:tab w:leader="none" w:pos="540"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ability to obtain funding for our continuing operations, including the development of our products utilizing our LIMITx™ and Impede® technologies;</w:t>
      </w:r>
    </w:p>
    <w:p>
      <w:pPr>
        <w:spacing w:after="0" w:line="1" w:lineRule="exact"/>
        <w:rPr>
          <w:rFonts w:ascii="Arial" w:cs="Arial" w:eastAsia="Arial" w:hAnsi="Arial"/>
          <w:sz w:val="18"/>
          <w:szCs w:val="18"/>
          <w:color w:val="auto"/>
        </w:rPr>
      </w:pPr>
    </w:p>
    <w:p>
      <w:pPr>
        <w:ind w:left="540" w:right="20" w:hanging="208"/>
        <w:spacing w:after="0" w:line="250" w:lineRule="auto"/>
        <w:tabs>
          <w:tab w:leader="none" w:pos="540" w:val="left"/>
        </w:tabs>
        <w:numPr>
          <w:ilvl w:val="0"/>
          <w:numId w:val="2"/>
        </w:numPr>
        <w:rPr>
          <w:rFonts w:ascii="Arial" w:cs="Arial" w:eastAsia="Arial" w:hAnsi="Arial"/>
          <w:sz w:val="18"/>
          <w:szCs w:val="18"/>
          <w:color w:val="auto"/>
        </w:rPr>
      </w:pPr>
      <w:r>
        <w:rPr>
          <w:rFonts w:ascii="Arial" w:cs="Arial" w:eastAsia="Arial" w:hAnsi="Arial"/>
          <w:sz w:val="18"/>
          <w:szCs w:val="18"/>
          <w:color w:val="auto"/>
        </w:rPr>
        <w:t>whether we can renegotiate the date by which we are required to obtain FDA acceptance, currently July 31, 2021, for an NDA for LTX-03 by our Agreement with AD Pharma on which we depend to finance operations;</w:t>
      </w:r>
    </w:p>
    <w:p>
      <w:pPr>
        <w:ind w:left="540" w:hanging="208"/>
        <w:spacing w:after="0"/>
        <w:tabs>
          <w:tab w:leader="none" w:pos="540" w:val="left"/>
        </w:tabs>
        <w:numPr>
          <w:ilvl w:val="0"/>
          <w:numId w:val="2"/>
        </w:numPr>
        <w:rPr>
          <w:rFonts w:ascii="Arial" w:cs="Arial" w:eastAsia="Arial" w:hAnsi="Arial"/>
          <w:sz w:val="18"/>
          <w:szCs w:val="18"/>
          <w:color w:val="auto"/>
        </w:rPr>
      </w:pPr>
      <w:r>
        <w:rPr>
          <w:rFonts w:ascii="Arial" w:cs="Arial" w:eastAsia="Arial" w:hAnsi="Arial"/>
          <w:sz w:val="18"/>
          <w:szCs w:val="18"/>
          <w:color w:val="auto"/>
        </w:rPr>
        <w:t>whether our licensing partners will develop any additional products and utilize Acura for such development;</w:t>
      </w:r>
    </w:p>
    <w:p>
      <w:pPr>
        <w:spacing w:after="0" w:line="9" w:lineRule="exact"/>
        <w:rPr>
          <w:rFonts w:ascii="Arial" w:cs="Arial" w:eastAsia="Arial" w:hAnsi="Arial"/>
          <w:sz w:val="18"/>
          <w:szCs w:val="18"/>
          <w:color w:val="auto"/>
        </w:rPr>
      </w:pPr>
    </w:p>
    <w:p>
      <w:pPr>
        <w:jc w:val="both"/>
        <w:ind w:left="540" w:hanging="208"/>
        <w:spacing w:after="0" w:line="250" w:lineRule="auto"/>
        <w:tabs>
          <w:tab w:leader="none" w:pos="54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expected results of clinical studies relating to LTX-03, a LIMITx hydrocodone bitartrate and acetaminophen combination product, or any successor product candidate, the date by which such studies will be complete and the results will be available and whether LTX-03 will ultimately receive FDA approval;</w:t>
      </w:r>
    </w:p>
    <w:p>
      <w:pPr>
        <w:spacing w:after="0" w:line="1" w:lineRule="exact"/>
        <w:rPr>
          <w:rFonts w:ascii="Arial" w:cs="Arial" w:eastAsia="Arial" w:hAnsi="Arial"/>
          <w:sz w:val="18"/>
          <w:szCs w:val="18"/>
          <w:color w:val="auto"/>
        </w:rPr>
      </w:pPr>
    </w:p>
    <w:p>
      <w:pPr>
        <w:jc w:val="both"/>
        <w:ind w:left="540" w:hanging="208"/>
        <w:spacing w:after="0" w:line="250" w:lineRule="auto"/>
        <w:tabs>
          <w:tab w:leader="none" w:pos="540"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business could be adversely affected by health epidemics in regions where third parties for which we rely, as in CROs or CMOs, have concentrations of clinical trial sites or other business operations, and could cause significant disruption in the operations of third-party manufacturers and CROs upon whom we rely;</w:t>
      </w:r>
    </w:p>
    <w:p>
      <w:pPr>
        <w:spacing w:after="0" w:line="1" w:lineRule="exact"/>
        <w:rPr>
          <w:rFonts w:ascii="Arial" w:cs="Arial" w:eastAsia="Arial" w:hAnsi="Arial"/>
          <w:sz w:val="18"/>
          <w:szCs w:val="18"/>
          <w:color w:val="auto"/>
        </w:rPr>
      </w:pPr>
    </w:p>
    <w:p>
      <w:pPr>
        <w:ind w:left="540" w:hanging="208"/>
        <w:spacing w:after="0"/>
        <w:tabs>
          <w:tab w:leader="none" w:pos="540" w:val="left"/>
        </w:tabs>
        <w:numPr>
          <w:ilvl w:val="0"/>
          <w:numId w:val="2"/>
        </w:numPr>
        <w:rPr>
          <w:rFonts w:ascii="Arial" w:cs="Arial" w:eastAsia="Arial" w:hAnsi="Arial"/>
          <w:sz w:val="18"/>
          <w:szCs w:val="18"/>
          <w:color w:val="auto"/>
        </w:rPr>
      </w:pPr>
      <w:r>
        <w:rPr>
          <w:rFonts w:ascii="Arial" w:cs="Arial" w:eastAsia="Arial" w:hAnsi="Arial"/>
          <w:sz w:val="18"/>
          <w:szCs w:val="18"/>
          <w:color w:val="auto"/>
        </w:rPr>
        <w:t>whether LIMITx will retard the release of opioid active ingredients as dose levels increase;</w:t>
      </w:r>
    </w:p>
    <w:p>
      <w:pPr>
        <w:spacing w:after="0" w:line="9" w:lineRule="exact"/>
        <w:rPr>
          <w:rFonts w:ascii="Arial" w:cs="Arial" w:eastAsia="Arial" w:hAnsi="Arial"/>
          <w:sz w:val="18"/>
          <w:szCs w:val="18"/>
          <w:color w:val="auto"/>
        </w:rPr>
      </w:pPr>
    </w:p>
    <w:p>
      <w:pPr>
        <w:ind w:left="540" w:right="260" w:hanging="208"/>
        <w:spacing w:after="0" w:line="250" w:lineRule="auto"/>
        <w:tabs>
          <w:tab w:leader="none" w:pos="540" w:val="left"/>
        </w:tabs>
        <w:numPr>
          <w:ilvl w:val="0"/>
          <w:numId w:val="2"/>
        </w:numPr>
        <w:rPr>
          <w:rFonts w:ascii="Arial" w:cs="Arial" w:eastAsia="Arial" w:hAnsi="Arial"/>
          <w:sz w:val="18"/>
          <w:szCs w:val="18"/>
          <w:color w:val="auto"/>
        </w:rPr>
      </w:pPr>
      <w:r>
        <w:rPr>
          <w:rFonts w:ascii="Arial" w:cs="Arial" w:eastAsia="Arial" w:hAnsi="Arial"/>
          <w:sz w:val="18"/>
          <w:szCs w:val="18"/>
          <w:color w:val="auto"/>
        </w:rPr>
        <w:t>whether the extent to which products formulated with the LIMITx Technology reduce respiratory depression will be determined sufficient by the FDA to support approval or labelling describing safety features;</w:t>
      </w:r>
    </w:p>
    <w:p>
      <w:pPr>
        <w:ind w:left="540" w:hanging="208"/>
        <w:spacing w:after="0"/>
        <w:tabs>
          <w:tab w:leader="none" w:pos="540" w:val="left"/>
        </w:tabs>
        <w:numPr>
          <w:ilvl w:val="0"/>
          <w:numId w:val="2"/>
        </w:numPr>
        <w:rPr>
          <w:rFonts w:ascii="Arial" w:cs="Arial" w:eastAsia="Arial" w:hAnsi="Arial"/>
          <w:sz w:val="18"/>
          <w:szCs w:val="18"/>
          <w:color w:val="auto"/>
        </w:rPr>
      </w:pPr>
      <w:r>
        <w:rPr>
          <w:rFonts w:ascii="Arial" w:cs="Arial" w:eastAsia="Arial" w:hAnsi="Arial"/>
          <w:sz w:val="18"/>
          <w:szCs w:val="18"/>
          <w:color w:val="auto"/>
        </w:rPr>
        <w:t>whether our LIMITx Technology can be expanded into extended-release formulations;</w:t>
      </w:r>
    </w:p>
    <w:p>
      <w:pPr>
        <w:spacing w:after="0" w:line="9" w:lineRule="exact"/>
        <w:rPr>
          <w:rFonts w:ascii="Arial" w:cs="Arial" w:eastAsia="Arial" w:hAnsi="Arial"/>
          <w:sz w:val="18"/>
          <w:szCs w:val="18"/>
          <w:color w:val="auto"/>
        </w:rPr>
      </w:pPr>
    </w:p>
    <w:p>
      <w:pPr>
        <w:ind w:left="540" w:right="680" w:hanging="208"/>
        <w:spacing w:after="0" w:line="250" w:lineRule="auto"/>
        <w:tabs>
          <w:tab w:leader="none" w:pos="540"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and our licensee’s ability to successfully launch and commercialize our products and technologies, including Oxaydo® Tablets and our Nexafed® products;</w:t>
      </w:r>
    </w:p>
    <w:p>
      <w:pPr>
        <w:ind w:left="540" w:hanging="208"/>
        <w:spacing w:after="0" w:line="250" w:lineRule="auto"/>
        <w:tabs>
          <w:tab w:leader="none" w:pos="54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results and timing of our development of our LIMITx Technology, including, but not limited to, the submission of a New Drug Application and/or FDA filing acceptance;</w:t>
      </w:r>
    </w:p>
    <w:p>
      <w:pPr>
        <w:ind w:left="540" w:hanging="208"/>
        <w:spacing w:after="0"/>
        <w:tabs>
          <w:tab w:leader="none" w:pos="540"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or our licensees’ ability to obtain necessary regulatory approvals and commercialize products utilizing our technologies;</w:t>
      </w:r>
    </w:p>
    <w:p>
      <w:pPr>
        <w:spacing w:after="0" w:line="9" w:lineRule="exact"/>
        <w:rPr>
          <w:rFonts w:ascii="Arial" w:cs="Arial" w:eastAsia="Arial" w:hAnsi="Arial"/>
          <w:sz w:val="18"/>
          <w:szCs w:val="18"/>
          <w:color w:val="auto"/>
        </w:rPr>
      </w:pPr>
    </w:p>
    <w:p>
      <w:pPr>
        <w:ind w:left="540" w:hanging="208"/>
        <w:spacing w:after="0"/>
        <w:tabs>
          <w:tab w:leader="none" w:pos="54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market acceptance of, timing of commercial launch and competitive environment for any of our products;</w:t>
      </w:r>
    </w:p>
    <w:p>
      <w:pPr>
        <w:spacing w:after="0" w:line="9" w:lineRule="exact"/>
        <w:rPr>
          <w:rFonts w:ascii="Arial" w:cs="Arial" w:eastAsia="Arial" w:hAnsi="Arial"/>
          <w:sz w:val="18"/>
          <w:szCs w:val="18"/>
          <w:color w:val="auto"/>
        </w:rPr>
      </w:pPr>
    </w:p>
    <w:p>
      <w:pPr>
        <w:ind w:left="540" w:hanging="208"/>
        <w:spacing w:after="0"/>
        <w:tabs>
          <w:tab w:leader="none" w:pos="540" w:val="left"/>
        </w:tabs>
        <w:numPr>
          <w:ilvl w:val="0"/>
          <w:numId w:val="2"/>
        </w:numPr>
        <w:rPr>
          <w:rFonts w:ascii="Arial" w:cs="Arial" w:eastAsia="Arial" w:hAnsi="Arial"/>
          <w:sz w:val="18"/>
          <w:szCs w:val="18"/>
          <w:color w:val="auto"/>
        </w:rPr>
      </w:pPr>
      <w:r>
        <w:rPr>
          <w:rFonts w:ascii="Arial" w:cs="Arial" w:eastAsia="Arial" w:hAnsi="Arial"/>
          <w:sz w:val="18"/>
          <w:szCs w:val="18"/>
          <w:color w:val="auto"/>
        </w:rPr>
        <w:t>expectations regarding potential market share for our products;</w:t>
      </w:r>
    </w:p>
    <w:p>
      <w:pPr>
        <w:spacing w:after="0" w:line="9" w:lineRule="exact"/>
        <w:rPr>
          <w:rFonts w:ascii="Arial" w:cs="Arial" w:eastAsia="Arial" w:hAnsi="Arial"/>
          <w:sz w:val="18"/>
          <w:szCs w:val="18"/>
          <w:color w:val="auto"/>
        </w:rPr>
      </w:pPr>
    </w:p>
    <w:p>
      <w:pPr>
        <w:ind w:left="540" w:hanging="208"/>
        <w:spacing w:after="0"/>
        <w:tabs>
          <w:tab w:leader="none" w:pos="540"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ability to develop and enter into additional license agreements for our product candidates using our technologies;</w:t>
      </w:r>
    </w:p>
    <w:p>
      <w:pPr>
        <w:spacing w:after="0" w:line="9" w:lineRule="exact"/>
        <w:rPr>
          <w:rFonts w:ascii="Arial" w:cs="Arial" w:eastAsia="Arial" w:hAnsi="Arial"/>
          <w:sz w:val="18"/>
          <w:szCs w:val="18"/>
          <w:color w:val="auto"/>
        </w:rPr>
      </w:pPr>
    </w:p>
    <w:p>
      <w:pPr>
        <w:ind w:left="540" w:hanging="208"/>
        <w:spacing w:after="0"/>
        <w:tabs>
          <w:tab w:leader="none" w:pos="540"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exposure to product liability and other lawsuits in connection with the commercialization of our products;</w:t>
      </w:r>
    </w:p>
    <w:p>
      <w:pPr>
        <w:spacing w:after="0" w:line="9" w:lineRule="exact"/>
        <w:rPr>
          <w:rFonts w:ascii="Arial" w:cs="Arial" w:eastAsia="Arial" w:hAnsi="Arial"/>
          <w:sz w:val="18"/>
          <w:szCs w:val="18"/>
          <w:color w:val="auto"/>
        </w:rPr>
      </w:pPr>
    </w:p>
    <w:p>
      <w:pPr>
        <w:ind w:left="540" w:hanging="208"/>
        <w:spacing w:after="0"/>
        <w:tabs>
          <w:tab w:leader="none" w:pos="54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increasing cost of insurance and the availability of product liability insurance coverage;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297180</wp:posOffset>
            </wp:positionV>
            <wp:extent cx="71323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4" w:name="page5"/>
    <w:bookmarkEnd w:id="4"/>
    <w:p>
      <w:pPr>
        <w:ind w:left="540" w:hanging="208"/>
        <w:spacing w:after="0"/>
        <w:tabs>
          <w:tab w:leader="none" w:pos="54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ability to avoid infringement of patents, trademarks and other proprietary rights of third parties;</w:t>
      </w:r>
    </w:p>
    <w:p>
      <w:pPr>
        <w:spacing w:after="0" w:line="23" w:lineRule="exact"/>
        <w:rPr>
          <w:rFonts w:ascii="Arial" w:cs="Arial" w:eastAsia="Arial" w:hAnsi="Arial"/>
          <w:sz w:val="18"/>
          <w:szCs w:val="18"/>
          <w:color w:val="auto"/>
        </w:rPr>
      </w:pPr>
    </w:p>
    <w:p>
      <w:pPr>
        <w:ind w:left="540" w:hanging="208"/>
        <w:spacing w:after="0" w:line="250" w:lineRule="auto"/>
        <w:tabs>
          <w:tab w:leader="none" w:pos="54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ability of our patents to protect our products from generic competition and our ability to protect and enforce our patent rights in any paragraph IV patent infringement litigation;</w:t>
      </w:r>
    </w:p>
    <w:p>
      <w:pPr>
        <w:ind w:left="540" w:hanging="208"/>
        <w:spacing w:after="0"/>
        <w:tabs>
          <w:tab w:leader="none" w:pos="540" w:val="left"/>
        </w:tabs>
        <w:numPr>
          <w:ilvl w:val="0"/>
          <w:numId w:val="3"/>
        </w:numPr>
        <w:rPr>
          <w:rFonts w:ascii="Arial" w:cs="Arial" w:eastAsia="Arial" w:hAnsi="Arial"/>
          <w:sz w:val="18"/>
          <w:szCs w:val="18"/>
          <w:color w:val="auto"/>
        </w:rPr>
      </w:pPr>
      <w:r>
        <w:rPr>
          <w:rFonts w:ascii="Arial" w:cs="Arial" w:eastAsia="Arial" w:hAnsi="Arial"/>
          <w:sz w:val="18"/>
          <w:szCs w:val="18"/>
          <w:color w:val="auto"/>
        </w:rPr>
        <w:t>whether the FDA will agree with or accept the results of our studies for our product candidates;</w:t>
      </w:r>
    </w:p>
    <w:p>
      <w:pPr>
        <w:spacing w:after="0" w:line="9" w:lineRule="exact"/>
        <w:rPr>
          <w:rFonts w:ascii="Arial" w:cs="Arial" w:eastAsia="Arial" w:hAnsi="Arial"/>
          <w:sz w:val="18"/>
          <w:szCs w:val="18"/>
          <w:color w:val="auto"/>
        </w:rPr>
      </w:pPr>
    </w:p>
    <w:p>
      <w:pPr>
        <w:jc w:val="both"/>
        <w:ind w:left="540" w:hanging="208"/>
        <w:spacing w:after="0" w:line="250" w:lineRule="auto"/>
        <w:tabs>
          <w:tab w:leader="none" w:pos="54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ability to fulfill the FDA requirements for approving our product candidates for commercial manufacturing and distribution in the United States, including, without limitation, the adequacy of the results of the laboratory and clinical studies completed to date, the results of laboratory and clinical studies we may complete in the future to support FDA approval of our product candidates and the sufficiency of our development process to meet over-the-counter (“OTC”) Monograph standards, as applicable;</w:t>
      </w:r>
    </w:p>
    <w:p>
      <w:pPr>
        <w:spacing w:after="0" w:line="1" w:lineRule="exact"/>
        <w:rPr>
          <w:rFonts w:ascii="Arial" w:cs="Arial" w:eastAsia="Arial" w:hAnsi="Arial"/>
          <w:sz w:val="18"/>
          <w:szCs w:val="18"/>
          <w:color w:val="auto"/>
        </w:rPr>
      </w:pPr>
    </w:p>
    <w:p>
      <w:pPr>
        <w:ind w:left="540" w:hanging="208"/>
        <w:spacing w:after="0" w:line="250" w:lineRule="auto"/>
        <w:tabs>
          <w:tab w:leader="none" w:pos="54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adequacy of the development program for our product candidates, including whether additional clinical studies will be required to support FDA approval of our product candidates;</w:t>
      </w:r>
    </w:p>
    <w:p>
      <w:pPr>
        <w:ind w:left="540" w:hanging="208"/>
        <w:spacing w:after="0"/>
        <w:tabs>
          <w:tab w:leader="none" w:pos="540" w:val="left"/>
        </w:tabs>
        <w:numPr>
          <w:ilvl w:val="0"/>
          <w:numId w:val="3"/>
        </w:numPr>
        <w:rPr>
          <w:rFonts w:ascii="Arial" w:cs="Arial" w:eastAsia="Arial" w:hAnsi="Arial"/>
          <w:sz w:val="18"/>
          <w:szCs w:val="18"/>
          <w:color w:val="auto"/>
        </w:rPr>
      </w:pPr>
      <w:r>
        <w:rPr>
          <w:rFonts w:ascii="Arial" w:cs="Arial" w:eastAsia="Arial" w:hAnsi="Arial"/>
          <w:sz w:val="18"/>
          <w:szCs w:val="18"/>
          <w:color w:val="auto"/>
        </w:rPr>
        <w:t>changes in regulatory requirements;</w:t>
      </w:r>
    </w:p>
    <w:p>
      <w:pPr>
        <w:spacing w:after="0" w:line="9" w:lineRule="exact"/>
        <w:rPr>
          <w:rFonts w:ascii="Arial" w:cs="Arial" w:eastAsia="Arial" w:hAnsi="Arial"/>
          <w:sz w:val="18"/>
          <w:szCs w:val="18"/>
          <w:color w:val="auto"/>
        </w:rPr>
      </w:pPr>
    </w:p>
    <w:p>
      <w:pPr>
        <w:ind w:left="540" w:hanging="208"/>
        <w:spacing w:after="0"/>
        <w:tabs>
          <w:tab w:leader="none" w:pos="540" w:val="left"/>
        </w:tabs>
        <w:numPr>
          <w:ilvl w:val="0"/>
          <w:numId w:val="3"/>
        </w:numPr>
        <w:rPr>
          <w:rFonts w:ascii="Arial" w:cs="Arial" w:eastAsia="Arial" w:hAnsi="Arial"/>
          <w:sz w:val="18"/>
          <w:szCs w:val="18"/>
          <w:color w:val="auto"/>
        </w:rPr>
      </w:pPr>
      <w:r>
        <w:rPr>
          <w:rFonts w:ascii="Arial" w:cs="Arial" w:eastAsia="Arial" w:hAnsi="Arial"/>
          <w:sz w:val="18"/>
          <w:szCs w:val="18"/>
          <w:color w:val="auto"/>
        </w:rPr>
        <w:t>adverse safety findings relating to our commercialized products or product candidates in development;</w:t>
      </w:r>
    </w:p>
    <w:p>
      <w:pPr>
        <w:spacing w:after="0" w:line="9" w:lineRule="exact"/>
        <w:rPr>
          <w:rFonts w:ascii="Arial" w:cs="Arial" w:eastAsia="Arial" w:hAnsi="Arial"/>
          <w:sz w:val="18"/>
          <w:szCs w:val="18"/>
          <w:color w:val="auto"/>
        </w:rPr>
      </w:pPr>
    </w:p>
    <w:p>
      <w:pPr>
        <w:ind w:left="540" w:hanging="208"/>
        <w:spacing w:after="0"/>
        <w:tabs>
          <w:tab w:leader="none" w:pos="540" w:val="left"/>
        </w:tabs>
        <w:numPr>
          <w:ilvl w:val="0"/>
          <w:numId w:val="3"/>
        </w:numPr>
        <w:rPr>
          <w:rFonts w:ascii="Arial" w:cs="Arial" w:eastAsia="Arial" w:hAnsi="Arial"/>
          <w:sz w:val="18"/>
          <w:szCs w:val="18"/>
          <w:color w:val="auto"/>
        </w:rPr>
      </w:pPr>
      <w:r>
        <w:rPr>
          <w:rFonts w:ascii="Arial" w:cs="Arial" w:eastAsia="Arial" w:hAnsi="Arial"/>
          <w:sz w:val="18"/>
          <w:szCs w:val="18"/>
          <w:color w:val="auto"/>
        </w:rPr>
        <w:t>whether the FDA will agree with our analysis of our clinical and laboratory studies;</w:t>
      </w:r>
    </w:p>
    <w:p>
      <w:pPr>
        <w:spacing w:after="0" w:line="9" w:lineRule="exact"/>
        <w:rPr>
          <w:rFonts w:ascii="Arial" w:cs="Arial" w:eastAsia="Arial" w:hAnsi="Arial"/>
          <w:sz w:val="18"/>
          <w:szCs w:val="18"/>
          <w:color w:val="auto"/>
        </w:rPr>
      </w:pPr>
    </w:p>
    <w:p>
      <w:pPr>
        <w:ind w:left="540" w:hanging="208"/>
        <w:spacing w:after="0"/>
        <w:tabs>
          <w:tab w:leader="none" w:pos="540" w:val="left"/>
        </w:tabs>
        <w:numPr>
          <w:ilvl w:val="0"/>
          <w:numId w:val="3"/>
        </w:numPr>
        <w:rPr>
          <w:rFonts w:ascii="Arial" w:cs="Arial" w:eastAsia="Arial" w:hAnsi="Arial"/>
          <w:sz w:val="18"/>
          <w:szCs w:val="18"/>
          <w:color w:val="auto"/>
        </w:rPr>
      </w:pPr>
      <w:r>
        <w:rPr>
          <w:rFonts w:ascii="Arial" w:cs="Arial" w:eastAsia="Arial" w:hAnsi="Arial"/>
          <w:sz w:val="18"/>
          <w:szCs w:val="18"/>
          <w:color w:val="auto"/>
        </w:rPr>
        <w:t>whether further studies of our product candidates will be required to support FDA approval;</w:t>
      </w:r>
    </w:p>
    <w:p>
      <w:pPr>
        <w:spacing w:after="0" w:line="9" w:lineRule="exact"/>
        <w:rPr>
          <w:rFonts w:ascii="Arial" w:cs="Arial" w:eastAsia="Arial" w:hAnsi="Arial"/>
          <w:sz w:val="18"/>
          <w:szCs w:val="18"/>
          <w:color w:val="auto"/>
        </w:rPr>
      </w:pPr>
    </w:p>
    <w:p>
      <w:pPr>
        <w:ind w:left="540" w:hanging="208"/>
        <w:spacing w:after="0" w:line="250" w:lineRule="auto"/>
        <w:tabs>
          <w:tab w:leader="none" w:pos="540" w:val="left"/>
        </w:tabs>
        <w:numPr>
          <w:ilvl w:val="0"/>
          <w:numId w:val="3"/>
        </w:numPr>
        <w:rPr>
          <w:rFonts w:ascii="Arial" w:cs="Arial" w:eastAsia="Arial" w:hAnsi="Arial"/>
          <w:sz w:val="18"/>
          <w:szCs w:val="18"/>
          <w:color w:val="auto"/>
        </w:rPr>
      </w:pPr>
      <w:r>
        <w:rPr>
          <w:rFonts w:ascii="Arial" w:cs="Arial" w:eastAsia="Arial" w:hAnsi="Arial"/>
          <w:sz w:val="18"/>
          <w:szCs w:val="18"/>
          <w:color w:val="auto"/>
        </w:rPr>
        <w:t>whether or when we are able to obtain FDA approval of labeling for our product candidates for the proposed indications and whether we will be able to promote the features of our technologies; and</w:t>
      </w:r>
    </w:p>
    <w:p>
      <w:pPr>
        <w:ind w:left="540" w:hanging="208"/>
        <w:spacing w:after="0"/>
        <w:tabs>
          <w:tab w:leader="none" w:pos="540" w:val="left"/>
        </w:tabs>
        <w:numPr>
          <w:ilvl w:val="0"/>
          <w:numId w:val="3"/>
        </w:numPr>
        <w:rPr>
          <w:rFonts w:ascii="Arial" w:cs="Arial" w:eastAsia="Arial" w:hAnsi="Arial"/>
          <w:sz w:val="18"/>
          <w:szCs w:val="18"/>
          <w:color w:val="auto"/>
        </w:rPr>
      </w:pPr>
      <w:r>
        <w:rPr>
          <w:rFonts w:ascii="Arial" w:cs="Arial" w:eastAsia="Arial" w:hAnsi="Arial"/>
          <w:sz w:val="18"/>
          <w:szCs w:val="18"/>
          <w:color w:val="auto"/>
        </w:rPr>
        <w:t>whether our product candidates will ultimately perform as intended in commercial settings.</w:t>
      </w:r>
    </w:p>
    <w:p>
      <w:pPr>
        <w:spacing w:after="0" w:line="211"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In some cases, you can identify forward-looking statements by terms such as “anticipate,” “believe,” “continue,” “could,” “estimate,” “expect,” “indicate,” “intend,” “look forward to,” “may,” “plan,” “potential,” “predict,” “project,” “seek”, “should,” “suggest,” “target,” “will,” “would” and similar expressions that convey the uncertainty of future events or outcomes are used to identify forward-looking statements. These statements reflect our current views with respect to future events and are based on assumptions and subject to known and unknown risks and uncertainties. Such forward-looking statements are not guarantees of future performance and are subject to risks, uncertainties and other factors, some of which are beyond the control of Acura. Given these uncertainties, you should not place undue reliance on these forward-looking statements. In light of these risks, uncertainties and assumptions, the forward-looking events and circumstances may not occur and actual results could differ materially and adversely from those anticipated or implied in the forward-looking statements. We discuss many of these risks in greater detail in our filings with the Securities and Exchange Commission. While Acura may elect to update these forward-looking statements at some point in the future, it specifically disclaims any obligation to update or revise any forward-looking statements contained in this press release whether as a result of new information or future events, except as may be required by applicable law.</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Contact:</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231F20"/>
        </w:rPr>
        <w:t>Acura Investor Relations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231F20"/>
        </w:rPr>
        <w:t>investors@acurapharm.com</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231F20"/>
        </w:rPr>
        <w:t>847-705-7709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71323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35" w:right="339" w:bottom="1440" w:gutter="0" w:footer="0" w:header="0"/>
        </w:sectPr>
      </w:pPr>
    </w:p>
    <w:bookmarkStart w:id="5" w:name="page6"/>
    <w:bookmarkEnd w:id="5"/>
    <w:p>
      <w:pPr>
        <w:jc w:val="center"/>
        <w:spacing w:after="0"/>
        <w:rPr>
          <w:sz w:val="20"/>
          <w:szCs w:val="20"/>
          <w:color w:val="auto"/>
        </w:rPr>
      </w:pPr>
      <w:r>
        <w:rPr>
          <w:rFonts w:ascii="Arial" w:cs="Arial" w:eastAsia="Arial" w:hAnsi="Arial"/>
          <w:sz w:val="18"/>
          <w:szCs w:val="18"/>
          <w:b w:val="1"/>
          <w:bCs w:val="1"/>
          <w:color w:val="auto"/>
        </w:rPr>
        <w:t>ACURA PHARMACEUTICALS,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900" w:type="dxa"/>
            <w:vAlign w:val="bottom"/>
          </w:tcPr>
          <w:p>
            <w:pPr>
              <w:spacing w:after="0"/>
              <w:rPr>
                <w:sz w:val="18"/>
                <w:szCs w:val="18"/>
                <w:color w:val="auto"/>
              </w:rPr>
            </w:pPr>
          </w:p>
        </w:tc>
        <w:tc>
          <w:tcPr>
            <w:tcW w:w="2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gridSpan w:val="2"/>
          </w:tcPr>
          <w:p>
            <w:pPr>
              <w:jc w:val="center"/>
              <w:ind w:right="300"/>
              <w:spacing w:after="0"/>
              <w:rPr>
                <w:sz w:val="20"/>
                <w:szCs w:val="20"/>
                <w:color w:val="auto"/>
              </w:rPr>
            </w:pPr>
            <w:r>
              <w:rPr>
                <w:rFonts w:ascii="Arial" w:cs="Arial" w:eastAsia="Arial" w:hAnsi="Arial"/>
                <w:sz w:val="18"/>
                <w:szCs w:val="18"/>
                <w:color w:val="auto"/>
                <w:w w:val="92"/>
              </w:rPr>
              <w:t>(audited)</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40" w:type="dxa"/>
            <w:vAlign w:val="bottom"/>
            <w:gridSpan w:val="3"/>
          </w:tcPr>
          <w:p>
            <w:pPr>
              <w:jc w:val="center"/>
              <w:ind w:right="200"/>
              <w:spacing w:after="0"/>
              <w:rPr>
                <w:sz w:val="20"/>
                <w:szCs w:val="20"/>
                <w:color w:val="auto"/>
              </w:rPr>
            </w:pPr>
            <w:r>
              <w:rPr>
                <w:rFonts w:ascii="Arial" w:cs="Arial" w:eastAsia="Arial" w:hAnsi="Arial"/>
                <w:sz w:val="18"/>
                <w:szCs w:val="18"/>
                <w:color w:val="auto"/>
                <w:w w:val="90"/>
              </w:rPr>
              <w:t>(audited)</w:t>
            </w:r>
          </w:p>
        </w:tc>
      </w:tr>
      <w:tr>
        <w:trPr>
          <w:trHeight w:val="229"/>
        </w:trPr>
        <w:tc>
          <w:tcPr>
            <w:tcW w:w="5900" w:type="dxa"/>
            <w:vAlign w:val="bottom"/>
          </w:tcPr>
          <w:p>
            <w:pPr>
              <w:spacing w:after="0"/>
              <w:rPr>
                <w:sz w:val="19"/>
                <w:szCs w:val="19"/>
                <w:color w:val="auto"/>
              </w:rPr>
            </w:pPr>
          </w:p>
        </w:tc>
        <w:tc>
          <w:tcPr>
            <w:tcW w:w="2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60" w:type="dxa"/>
            <w:vAlign w:val="bottom"/>
            <w:gridSpan w:val="2"/>
          </w:tcPr>
          <w:p>
            <w:pPr>
              <w:jc w:val="center"/>
              <w:ind w:right="300"/>
              <w:spacing w:after="0"/>
              <w:rPr>
                <w:sz w:val="20"/>
                <w:szCs w:val="20"/>
                <w:color w:val="auto"/>
              </w:rPr>
            </w:pPr>
            <w:r>
              <w:rPr>
                <w:rFonts w:ascii="Arial" w:cs="Arial" w:eastAsia="Arial" w:hAnsi="Arial"/>
                <w:sz w:val="18"/>
                <w:szCs w:val="18"/>
                <w:color w:val="auto"/>
                <w:w w:val="90"/>
              </w:rPr>
              <w:t>December 31,</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40" w:type="dxa"/>
            <w:vAlign w:val="bottom"/>
            <w:gridSpan w:val="3"/>
          </w:tcPr>
          <w:p>
            <w:pPr>
              <w:jc w:val="center"/>
              <w:ind w:right="200"/>
              <w:spacing w:after="0"/>
              <w:rPr>
                <w:sz w:val="20"/>
                <w:szCs w:val="20"/>
                <w:color w:val="auto"/>
              </w:rPr>
            </w:pPr>
            <w:r>
              <w:rPr>
                <w:rFonts w:ascii="Arial" w:cs="Arial" w:eastAsia="Arial" w:hAnsi="Arial"/>
                <w:sz w:val="18"/>
                <w:szCs w:val="18"/>
                <w:color w:val="auto"/>
                <w:w w:val="88"/>
              </w:rPr>
              <w:t>December 31,</w:t>
            </w:r>
          </w:p>
        </w:tc>
      </w:tr>
      <w:tr>
        <w:trPr>
          <w:trHeight w:val="230"/>
        </w:trPr>
        <w:tc>
          <w:tcPr>
            <w:tcW w:w="5900" w:type="dxa"/>
            <w:vAlign w:val="bottom"/>
            <w:tcBorders>
              <w:bottom w:val="single" w:sz="8" w:color="CCEEFF"/>
            </w:tcBorders>
          </w:tcPr>
          <w:p>
            <w:pPr>
              <w:spacing w:after="0"/>
              <w:rPr>
                <w:sz w:val="20"/>
                <w:szCs w:val="20"/>
                <w:color w:val="auto"/>
              </w:rPr>
            </w:pPr>
          </w:p>
        </w:tc>
        <w:tc>
          <w:tcPr>
            <w:tcW w:w="2540" w:type="dxa"/>
            <w:vAlign w:val="bottom"/>
            <w:tcBorders>
              <w:bottom w:val="single" w:sz="8" w:color="CCEEFF"/>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center"/>
              <w:ind w:right="10"/>
              <w:spacing w:after="0"/>
              <w:rPr>
                <w:sz w:val="20"/>
                <w:szCs w:val="20"/>
                <w:color w:val="auto"/>
              </w:rPr>
            </w:pPr>
            <w:r>
              <w:rPr>
                <w:rFonts w:ascii="Arial" w:cs="Arial" w:eastAsia="Arial" w:hAnsi="Arial"/>
                <w:sz w:val="18"/>
                <w:szCs w:val="18"/>
                <w:color w:val="auto"/>
                <w:w w:val="89"/>
              </w:rPr>
              <w:t>2020</w:t>
            </w:r>
          </w:p>
        </w:tc>
        <w:tc>
          <w:tcPr>
            <w:tcW w:w="220" w:type="dxa"/>
            <w:vAlign w:val="bottom"/>
            <w:tcBorders>
              <w:bottom w:val="single" w:sz="8" w:color="CCEEFF"/>
            </w:tcBorders>
          </w:tcPr>
          <w:p>
            <w:pPr>
              <w:spacing w:after="0"/>
              <w:rPr>
                <w:sz w:val="20"/>
                <w:szCs w:val="20"/>
                <w:color w:val="auto"/>
              </w:rPr>
            </w:pPr>
          </w:p>
        </w:tc>
        <w:tc>
          <w:tcPr>
            <w:tcW w:w="20" w:type="dxa"/>
            <w:vAlign w:val="bottom"/>
            <w:tcBorders>
              <w:bottom w:val="single" w:sz="8" w:color="CCEEFF"/>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center"/>
              <w:ind w:right="10"/>
              <w:spacing w:after="0"/>
              <w:rPr>
                <w:sz w:val="20"/>
                <w:szCs w:val="20"/>
                <w:color w:val="auto"/>
              </w:rPr>
            </w:pPr>
            <w:r>
              <w:rPr>
                <w:rFonts w:ascii="Arial" w:cs="Arial" w:eastAsia="Arial" w:hAnsi="Arial"/>
                <w:sz w:val="18"/>
                <w:szCs w:val="18"/>
                <w:color w:val="auto"/>
                <w:w w:val="89"/>
              </w:rPr>
              <w:t>2019</w:t>
            </w:r>
          </w:p>
        </w:tc>
        <w:tc>
          <w:tcPr>
            <w:tcW w:w="20" w:type="dxa"/>
            <w:vAlign w:val="bottom"/>
            <w:tcBorders>
              <w:bottom w:val="single" w:sz="8" w:color="CCEEFF"/>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r>
      <w:tr>
        <w:trPr>
          <w:trHeight w:val="210"/>
        </w:trPr>
        <w:tc>
          <w:tcPr>
            <w:tcW w:w="5900" w:type="dxa"/>
            <w:vAlign w:val="bottom"/>
            <w:shd w:val="clear" w:color="auto" w:fill="CCEEFF"/>
          </w:tcPr>
          <w:p>
            <w:pPr>
              <w:spacing w:after="0"/>
              <w:rPr>
                <w:sz w:val="20"/>
                <w:szCs w:val="20"/>
                <w:color w:val="auto"/>
              </w:rPr>
            </w:pPr>
            <w:r>
              <w:rPr>
                <w:rFonts w:ascii="Arial" w:cs="Arial" w:eastAsia="Arial" w:hAnsi="Arial"/>
                <w:sz w:val="18"/>
                <w:szCs w:val="18"/>
                <w:color w:val="auto"/>
              </w:rPr>
              <w:t>Assets – current</w:t>
            </w:r>
          </w:p>
        </w:tc>
        <w:tc>
          <w:tcPr>
            <w:tcW w:w="25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1,179</w:t>
            </w: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1,178</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5900" w:type="dxa"/>
            <w:vAlign w:val="bottom"/>
          </w:tcPr>
          <w:p>
            <w:pPr>
              <w:spacing w:after="0"/>
              <w:rPr>
                <w:sz w:val="20"/>
                <w:szCs w:val="20"/>
                <w:color w:val="auto"/>
              </w:rPr>
            </w:pPr>
            <w:r>
              <w:rPr>
                <w:rFonts w:ascii="Arial" w:cs="Arial" w:eastAsia="Arial" w:hAnsi="Arial"/>
                <w:sz w:val="18"/>
                <w:szCs w:val="18"/>
                <w:color w:val="auto"/>
              </w:rPr>
              <w:t>Property, plant and equipment, net</w:t>
            </w:r>
          </w:p>
        </w:tc>
        <w:tc>
          <w:tcPr>
            <w:tcW w:w="2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484</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40" w:type="dxa"/>
            <w:vAlign w:val="bottom"/>
            <w:gridSpan w:val="3"/>
          </w:tcPr>
          <w:p>
            <w:pPr>
              <w:jc w:val="right"/>
              <w:ind w:right="100"/>
              <w:spacing w:after="0"/>
              <w:rPr>
                <w:sz w:val="20"/>
                <w:szCs w:val="20"/>
                <w:color w:val="auto"/>
              </w:rPr>
            </w:pPr>
            <w:r>
              <w:rPr>
                <w:rFonts w:ascii="Arial" w:cs="Arial" w:eastAsia="Arial" w:hAnsi="Arial"/>
                <w:sz w:val="18"/>
                <w:szCs w:val="18"/>
                <w:color w:val="auto"/>
              </w:rPr>
              <w:t>540</w:t>
            </w:r>
          </w:p>
        </w:tc>
      </w:tr>
      <w:tr>
        <w:trPr>
          <w:trHeight w:val="229"/>
        </w:trPr>
        <w:tc>
          <w:tcPr>
            <w:tcW w:w="5900" w:type="dxa"/>
            <w:vAlign w:val="bottom"/>
            <w:shd w:val="clear" w:color="auto" w:fill="CCEEFF"/>
          </w:tcPr>
          <w:p>
            <w:pPr>
              <w:spacing w:after="0"/>
              <w:rPr>
                <w:sz w:val="20"/>
                <w:szCs w:val="20"/>
                <w:color w:val="auto"/>
              </w:rPr>
            </w:pPr>
            <w:r>
              <w:rPr>
                <w:rFonts w:ascii="Arial" w:cs="Arial" w:eastAsia="Arial" w:hAnsi="Arial"/>
                <w:sz w:val="18"/>
                <w:szCs w:val="18"/>
                <w:color w:val="auto"/>
              </w:rPr>
              <w:t>Other assets</w:t>
            </w:r>
          </w:p>
        </w:tc>
        <w:tc>
          <w:tcPr>
            <w:tcW w:w="25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73</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844</w:t>
            </w:r>
          </w:p>
        </w:tc>
      </w:tr>
      <w:tr>
        <w:trPr>
          <w:trHeight w:val="210"/>
        </w:trPr>
        <w:tc>
          <w:tcPr>
            <w:tcW w:w="590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Total assets</w:t>
            </w:r>
          </w:p>
        </w:tc>
        <w:tc>
          <w:tcPr>
            <w:tcW w:w="2540" w:type="dxa"/>
            <w:vAlign w:val="bottom"/>
            <w:tcBorders>
              <w:bottom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1,736</w:t>
            </w:r>
          </w:p>
        </w:tc>
        <w:tc>
          <w:tcPr>
            <w:tcW w:w="22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2,562</w:t>
            </w:r>
          </w:p>
        </w:tc>
        <w:tc>
          <w:tcPr>
            <w:tcW w:w="2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r>
      <w:tr>
        <w:trPr>
          <w:trHeight w:val="209"/>
        </w:trPr>
        <w:tc>
          <w:tcPr>
            <w:tcW w:w="5900" w:type="dxa"/>
            <w:vAlign w:val="bottom"/>
            <w:shd w:val="clear" w:color="auto" w:fill="CCEEFF"/>
          </w:tcPr>
          <w:p>
            <w:pPr>
              <w:spacing w:after="0"/>
              <w:rPr>
                <w:sz w:val="18"/>
                <w:szCs w:val="18"/>
                <w:color w:val="auto"/>
              </w:rPr>
            </w:pPr>
          </w:p>
        </w:tc>
        <w:tc>
          <w:tcPr>
            <w:tcW w:w="2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5900" w:type="dxa"/>
            <w:vAlign w:val="bottom"/>
          </w:tcPr>
          <w:p>
            <w:pPr>
              <w:spacing w:after="0"/>
              <w:rPr>
                <w:sz w:val="20"/>
                <w:szCs w:val="20"/>
                <w:color w:val="auto"/>
              </w:rPr>
            </w:pPr>
            <w:r>
              <w:rPr>
                <w:rFonts w:ascii="Arial" w:cs="Arial" w:eastAsia="Arial" w:hAnsi="Arial"/>
                <w:sz w:val="18"/>
                <w:szCs w:val="18"/>
                <w:color w:val="auto"/>
              </w:rPr>
              <w:t>Other liabilities - current</w:t>
            </w:r>
          </w:p>
        </w:tc>
        <w:tc>
          <w:tcPr>
            <w:tcW w:w="26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680</w:t>
            </w:r>
          </w:p>
        </w:tc>
        <w:tc>
          <w:tcPr>
            <w:tcW w:w="10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20"/>
              <w:spacing w:after="0"/>
              <w:rPr>
                <w:sz w:val="20"/>
                <w:szCs w:val="20"/>
                <w:color w:val="auto"/>
              </w:rPr>
            </w:pPr>
            <w:r>
              <w:rPr>
                <w:rFonts w:ascii="Arial" w:cs="Arial" w:eastAsia="Arial" w:hAnsi="Arial"/>
                <w:sz w:val="18"/>
                <w:szCs w:val="18"/>
                <w:color w:val="auto"/>
              </w:rPr>
              <w:t>1,074</w:t>
            </w:r>
          </w:p>
        </w:tc>
        <w:tc>
          <w:tcPr>
            <w:tcW w:w="80" w:type="dxa"/>
            <w:vAlign w:val="bottom"/>
          </w:tcPr>
          <w:p>
            <w:pPr>
              <w:spacing w:after="0"/>
              <w:rPr>
                <w:sz w:val="18"/>
                <w:szCs w:val="18"/>
                <w:color w:val="auto"/>
              </w:rPr>
            </w:pPr>
          </w:p>
        </w:tc>
      </w:tr>
      <w:tr>
        <w:trPr>
          <w:trHeight w:val="216"/>
        </w:trPr>
        <w:tc>
          <w:tcPr>
            <w:tcW w:w="5900" w:type="dxa"/>
            <w:vAlign w:val="bottom"/>
            <w:shd w:val="clear" w:color="auto" w:fill="CCEEFF"/>
          </w:tcPr>
          <w:p>
            <w:pPr>
              <w:spacing w:after="0"/>
              <w:rPr>
                <w:sz w:val="20"/>
                <w:szCs w:val="20"/>
                <w:color w:val="auto"/>
              </w:rPr>
            </w:pPr>
            <w:r>
              <w:rPr>
                <w:rFonts w:ascii="Arial" w:cs="Arial" w:eastAsia="Arial" w:hAnsi="Arial"/>
                <w:sz w:val="18"/>
                <w:szCs w:val="18"/>
                <w:color w:val="auto"/>
              </w:rPr>
              <w:t>Loan under CARES Act - current</w:t>
            </w:r>
          </w:p>
        </w:tc>
        <w:tc>
          <w:tcPr>
            <w:tcW w:w="2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164</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r>
      <w:tr>
        <w:trPr>
          <w:trHeight w:val="216"/>
        </w:trPr>
        <w:tc>
          <w:tcPr>
            <w:tcW w:w="5900" w:type="dxa"/>
            <w:vAlign w:val="bottom"/>
          </w:tcPr>
          <w:p>
            <w:pPr>
              <w:spacing w:after="0"/>
              <w:rPr>
                <w:sz w:val="20"/>
                <w:szCs w:val="20"/>
                <w:color w:val="auto"/>
              </w:rPr>
            </w:pPr>
            <w:r>
              <w:rPr>
                <w:rFonts w:ascii="Arial" w:cs="Arial" w:eastAsia="Arial" w:hAnsi="Arial"/>
                <w:sz w:val="18"/>
                <w:szCs w:val="18"/>
                <w:color w:val="auto"/>
              </w:rPr>
              <w:t>Accrued interest to related party – current</w:t>
            </w:r>
          </w:p>
        </w:tc>
        <w:tc>
          <w:tcPr>
            <w:tcW w:w="2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678</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r>
      <w:tr>
        <w:trPr>
          <w:trHeight w:val="216"/>
        </w:trPr>
        <w:tc>
          <w:tcPr>
            <w:tcW w:w="5900" w:type="dxa"/>
            <w:vAlign w:val="bottom"/>
            <w:shd w:val="clear" w:color="auto" w:fill="CCEEFF"/>
          </w:tcPr>
          <w:p>
            <w:pPr>
              <w:spacing w:after="0"/>
              <w:rPr>
                <w:sz w:val="20"/>
                <w:szCs w:val="20"/>
                <w:color w:val="auto"/>
              </w:rPr>
            </w:pPr>
            <w:r>
              <w:rPr>
                <w:rFonts w:ascii="Arial" w:cs="Arial" w:eastAsia="Arial" w:hAnsi="Arial"/>
                <w:sz w:val="18"/>
                <w:szCs w:val="18"/>
                <w:color w:val="auto"/>
              </w:rPr>
              <w:t>Convertible debt to related party – current</w:t>
            </w:r>
          </w:p>
        </w:tc>
        <w:tc>
          <w:tcPr>
            <w:tcW w:w="2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6,000</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r>
      <w:tr>
        <w:trPr>
          <w:trHeight w:val="216"/>
        </w:trPr>
        <w:tc>
          <w:tcPr>
            <w:tcW w:w="5900" w:type="dxa"/>
            <w:vAlign w:val="bottom"/>
          </w:tcPr>
          <w:p>
            <w:pPr>
              <w:spacing w:after="0"/>
              <w:rPr>
                <w:sz w:val="20"/>
                <w:szCs w:val="20"/>
                <w:color w:val="auto"/>
              </w:rPr>
            </w:pPr>
            <w:r>
              <w:rPr>
                <w:rFonts w:ascii="Arial" w:cs="Arial" w:eastAsia="Arial" w:hAnsi="Arial"/>
                <w:sz w:val="18"/>
                <w:szCs w:val="18"/>
                <w:color w:val="auto"/>
              </w:rPr>
              <w:t>Loan under CARES Act – non current</w:t>
            </w:r>
          </w:p>
        </w:tc>
        <w:tc>
          <w:tcPr>
            <w:tcW w:w="2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105</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r>
      <w:tr>
        <w:trPr>
          <w:trHeight w:val="216"/>
        </w:trPr>
        <w:tc>
          <w:tcPr>
            <w:tcW w:w="5900" w:type="dxa"/>
            <w:vAlign w:val="bottom"/>
            <w:shd w:val="clear" w:color="auto" w:fill="CCEEFF"/>
          </w:tcPr>
          <w:p>
            <w:pPr>
              <w:spacing w:after="0"/>
              <w:rPr>
                <w:sz w:val="20"/>
                <w:szCs w:val="20"/>
                <w:color w:val="auto"/>
              </w:rPr>
            </w:pPr>
            <w:r>
              <w:rPr>
                <w:rFonts w:ascii="Arial" w:cs="Arial" w:eastAsia="Arial" w:hAnsi="Arial"/>
                <w:sz w:val="18"/>
                <w:szCs w:val="18"/>
                <w:color w:val="auto"/>
              </w:rPr>
              <w:t>Accrued interest to related party – non current</w:t>
            </w:r>
          </w:p>
        </w:tc>
        <w:tc>
          <w:tcPr>
            <w:tcW w:w="2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229</w:t>
            </w:r>
          </w:p>
        </w:tc>
      </w:tr>
      <w:tr>
        <w:trPr>
          <w:trHeight w:val="216"/>
        </w:trPr>
        <w:tc>
          <w:tcPr>
            <w:tcW w:w="5900" w:type="dxa"/>
            <w:vAlign w:val="bottom"/>
          </w:tcPr>
          <w:p>
            <w:pPr>
              <w:spacing w:after="0"/>
              <w:rPr>
                <w:sz w:val="20"/>
                <w:szCs w:val="20"/>
                <w:color w:val="auto"/>
              </w:rPr>
            </w:pPr>
            <w:r>
              <w:rPr>
                <w:rFonts w:ascii="Arial" w:cs="Arial" w:eastAsia="Arial" w:hAnsi="Arial"/>
                <w:sz w:val="18"/>
                <w:szCs w:val="18"/>
                <w:color w:val="auto"/>
              </w:rPr>
              <w:t>Convertible debt to related party – non current</w:t>
            </w:r>
          </w:p>
        </w:tc>
        <w:tc>
          <w:tcPr>
            <w:tcW w:w="2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gridSpan w:val="2"/>
          </w:tcPr>
          <w:p>
            <w:pPr>
              <w:jc w:val="right"/>
              <w:ind w:right="20"/>
              <w:spacing w:after="0"/>
              <w:rPr>
                <w:sz w:val="20"/>
                <w:szCs w:val="20"/>
                <w:color w:val="auto"/>
              </w:rPr>
            </w:pPr>
            <w:r>
              <w:rPr>
                <w:rFonts w:ascii="Arial" w:cs="Arial" w:eastAsia="Arial" w:hAnsi="Arial"/>
                <w:sz w:val="18"/>
                <w:szCs w:val="18"/>
                <w:color w:val="auto"/>
              </w:rPr>
              <w:t>6,000</w:t>
            </w:r>
          </w:p>
        </w:tc>
        <w:tc>
          <w:tcPr>
            <w:tcW w:w="80" w:type="dxa"/>
            <w:vAlign w:val="bottom"/>
          </w:tcPr>
          <w:p>
            <w:pPr>
              <w:spacing w:after="0"/>
              <w:rPr>
                <w:sz w:val="18"/>
                <w:szCs w:val="18"/>
                <w:color w:val="auto"/>
              </w:rPr>
            </w:pPr>
          </w:p>
        </w:tc>
      </w:tr>
      <w:tr>
        <w:trPr>
          <w:trHeight w:val="230"/>
        </w:trPr>
        <w:tc>
          <w:tcPr>
            <w:tcW w:w="5900" w:type="dxa"/>
            <w:vAlign w:val="bottom"/>
            <w:shd w:val="clear" w:color="auto" w:fill="CCEEFF"/>
          </w:tcPr>
          <w:p>
            <w:pPr>
              <w:spacing w:after="0"/>
              <w:rPr>
                <w:sz w:val="20"/>
                <w:szCs w:val="20"/>
                <w:color w:val="auto"/>
              </w:rPr>
            </w:pPr>
            <w:r>
              <w:rPr>
                <w:rFonts w:ascii="Arial" w:cs="Arial" w:eastAsia="Arial" w:hAnsi="Arial"/>
                <w:sz w:val="18"/>
                <w:szCs w:val="18"/>
                <w:color w:val="auto"/>
              </w:rPr>
              <w:t>Stockholders' deficit</w:t>
            </w:r>
          </w:p>
        </w:tc>
        <w:tc>
          <w:tcPr>
            <w:tcW w:w="25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(5,891)</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(4,741)</w:t>
            </w:r>
          </w:p>
        </w:tc>
      </w:tr>
      <w:tr>
        <w:trPr>
          <w:trHeight w:val="209"/>
        </w:trPr>
        <w:tc>
          <w:tcPr>
            <w:tcW w:w="5900" w:type="dxa"/>
            <w:vAlign w:val="bottom"/>
          </w:tcPr>
          <w:p>
            <w:pPr>
              <w:ind w:left="360"/>
              <w:spacing w:after="0"/>
              <w:rPr>
                <w:sz w:val="20"/>
                <w:szCs w:val="20"/>
                <w:color w:val="auto"/>
              </w:rPr>
            </w:pPr>
            <w:r>
              <w:rPr>
                <w:rFonts w:ascii="Arial" w:cs="Arial" w:eastAsia="Arial" w:hAnsi="Arial"/>
                <w:sz w:val="18"/>
                <w:szCs w:val="18"/>
                <w:color w:val="auto"/>
              </w:rPr>
              <w:t>Total liabilities and stockholders' deficit</w:t>
            </w:r>
          </w:p>
        </w:tc>
        <w:tc>
          <w:tcPr>
            <w:tcW w:w="254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1,736</w:t>
            </w:r>
          </w:p>
        </w:tc>
        <w:tc>
          <w:tcPr>
            <w:tcW w:w="22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2,562</w:t>
            </w:r>
          </w:p>
        </w:tc>
        <w:tc>
          <w:tcPr>
            <w:tcW w:w="2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r>
      <w:tr>
        <w:trPr>
          <w:trHeight w:val="426"/>
        </w:trPr>
        <w:tc>
          <w:tcPr>
            <w:tcW w:w="5900" w:type="dxa"/>
            <w:vAlign w:val="bottom"/>
            <w:tcBorders>
              <w:bottom w:val="single" w:sz="8" w:color="auto"/>
            </w:tcBorders>
          </w:tcPr>
          <w:p>
            <w:pPr>
              <w:spacing w:after="0"/>
              <w:rPr>
                <w:sz w:val="24"/>
                <w:szCs w:val="24"/>
                <w:color w:val="auto"/>
              </w:rPr>
            </w:pPr>
          </w:p>
        </w:tc>
        <w:tc>
          <w:tcPr>
            <w:tcW w:w="25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4" w:right="339" w:bottom="1440" w:gutter="0" w:footer="0" w:header="0"/>
        </w:sectPr>
      </w:pPr>
    </w:p>
    <w:bookmarkStart w:id="6" w:name="page7"/>
    <w:bookmarkEnd w:id="6"/>
    <w:p>
      <w:pPr>
        <w:jc w:val="center"/>
        <w:spacing w:after="0"/>
        <w:rPr>
          <w:sz w:val="20"/>
          <w:szCs w:val="20"/>
          <w:color w:val="auto"/>
        </w:rPr>
      </w:pPr>
      <w:r>
        <w:rPr>
          <w:rFonts w:ascii="Arial" w:cs="Arial" w:eastAsia="Arial" w:hAnsi="Arial"/>
          <w:sz w:val="18"/>
          <w:szCs w:val="18"/>
          <w:b w:val="1"/>
          <w:bCs w:val="1"/>
          <w:color w:val="auto"/>
        </w:rPr>
        <w:t>ACURA PHARMACEUTICALS,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 share amounts)</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5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20" w:type="dxa"/>
            <w:vAlign w:val="bottom"/>
            <w:gridSpan w:val="4"/>
          </w:tcPr>
          <w:p>
            <w:pPr>
              <w:jc w:val="center"/>
              <w:ind w:left="470"/>
              <w:spacing w:after="0"/>
              <w:rPr>
                <w:sz w:val="20"/>
                <w:szCs w:val="20"/>
                <w:color w:val="auto"/>
              </w:rPr>
            </w:pPr>
            <w:r>
              <w:rPr>
                <w:rFonts w:ascii="Arial" w:cs="Arial" w:eastAsia="Arial" w:hAnsi="Arial"/>
                <w:sz w:val="18"/>
                <w:szCs w:val="18"/>
                <w:color w:val="auto"/>
                <w:w w:val="90"/>
              </w:rPr>
              <w:t>(unaudited)</w:t>
            </w: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0" w:type="dxa"/>
            <w:vAlign w:val="bottom"/>
            <w:gridSpan w:val="4"/>
          </w:tcPr>
          <w:p>
            <w:pPr>
              <w:jc w:val="right"/>
              <w:ind w:right="110"/>
              <w:spacing w:after="0"/>
              <w:rPr>
                <w:sz w:val="20"/>
                <w:szCs w:val="20"/>
                <w:color w:val="auto"/>
              </w:rPr>
            </w:pPr>
            <w:r>
              <w:rPr>
                <w:rFonts w:ascii="Arial" w:cs="Arial" w:eastAsia="Arial" w:hAnsi="Arial"/>
                <w:sz w:val="18"/>
                <w:szCs w:val="18"/>
                <w:color w:val="auto"/>
              </w:rPr>
              <w:t>(audited)</w:t>
            </w: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5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660" w:type="dxa"/>
            <w:vAlign w:val="bottom"/>
            <w:gridSpan w:val="6"/>
          </w:tcPr>
          <w:p>
            <w:pPr>
              <w:jc w:val="center"/>
              <w:ind w:right="540"/>
              <w:spacing w:after="0"/>
              <w:rPr>
                <w:sz w:val="20"/>
                <w:szCs w:val="20"/>
                <w:color w:val="auto"/>
              </w:rPr>
            </w:pPr>
            <w:r>
              <w:rPr>
                <w:rFonts w:ascii="Arial" w:cs="Arial" w:eastAsia="Arial" w:hAnsi="Arial"/>
                <w:sz w:val="18"/>
                <w:szCs w:val="18"/>
                <w:color w:val="auto"/>
                <w:w w:val="90"/>
              </w:rPr>
              <w:t>Three Months Ended</w:t>
            </w:r>
          </w:p>
        </w:tc>
        <w:tc>
          <w:tcPr>
            <w:tcW w:w="260" w:type="dxa"/>
            <w:vAlign w:val="bottom"/>
          </w:tcPr>
          <w:p>
            <w:pPr>
              <w:spacing w:after="0"/>
              <w:rPr>
                <w:sz w:val="18"/>
                <w:szCs w:val="18"/>
                <w:color w:val="auto"/>
              </w:rPr>
            </w:pPr>
          </w:p>
        </w:tc>
        <w:tc>
          <w:tcPr>
            <w:tcW w:w="2520" w:type="dxa"/>
            <w:vAlign w:val="bottom"/>
            <w:gridSpan w:val="6"/>
          </w:tcPr>
          <w:p>
            <w:pPr>
              <w:jc w:val="right"/>
              <w:ind w:right="581"/>
              <w:spacing w:after="0"/>
              <w:rPr>
                <w:sz w:val="20"/>
                <w:szCs w:val="20"/>
                <w:color w:val="auto"/>
              </w:rPr>
            </w:pPr>
            <w:r>
              <w:rPr>
                <w:rFonts w:ascii="Arial" w:cs="Arial" w:eastAsia="Arial" w:hAnsi="Arial"/>
                <w:sz w:val="18"/>
                <w:szCs w:val="18"/>
                <w:color w:val="auto"/>
              </w:rPr>
              <w:t>Twelve Months Ended</w:t>
            </w:r>
          </w:p>
        </w:tc>
      </w:tr>
      <w:tr>
        <w:trPr>
          <w:trHeight w:val="230"/>
        </w:trPr>
        <w:tc>
          <w:tcPr>
            <w:tcW w:w="45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620" w:type="dxa"/>
            <w:vAlign w:val="bottom"/>
            <w:tcBorders>
              <w:bottom w:val="single" w:sz="8" w:color="auto"/>
            </w:tcBorders>
            <w:gridSpan w:val="4"/>
          </w:tcPr>
          <w:p>
            <w:pPr>
              <w:jc w:val="center"/>
              <w:ind w:left="470"/>
              <w:spacing w:after="0"/>
              <w:rPr>
                <w:sz w:val="20"/>
                <w:szCs w:val="20"/>
                <w:color w:val="auto"/>
              </w:rPr>
            </w:pPr>
            <w:r>
              <w:rPr>
                <w:rFonts w:ascii="Arial" w:cs="Arial" w:eastAsia="Arial" w:hAnsi="Arial"/>
                <w:sz w:val="18"/>
                <w:szCs w:val="18"/>
                <w:color w:val="auto"/>
                <w:w w:val="90"/>
              </w:rPr>
              <w:t>December 31,</w:t>
            </w:r>
          </w:p>
        </w:tc>
        <w:tc>
          <w:tcPr>
            <w:tcW w:w="82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60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color w:val="auto"/>
              </w:rPr>
              <w:t>December 31,</w:t>
            </w:r>
          </w:p>
        </w:tc>
        <w:tc>
          <w:tcPr>
            <w:tcW w:w="8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23"/>
        </w:trPr>
        <w:tc>
          <w:tcPr>
            <w:tcW w:w="4520" w:type="dxa"/>
            <w:vAlign w:val="bottom"/>
            <w:tcBorders>
              <w:bottom w:val="single" w:sz="8" w:color="CCEEFF"/>
            </w:tcBorders>
          </w:tcPr>
          <w:p>
            <w:pPr>
              <w:spacing w:after="0"/>
              <w:rPr>
                <w:sz w:val="19"/>
                <w:szCs w:val="19"/>
                <w:color w:val="auto"/>
              </w:rPr>
            </w:pPr>
          </w:p>
        </w:tc>
        <w:tc>
          <w:tcPr>
            <w:tcW w:w="10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rPr>
              <w:t>2020</w:t>
            </w:r>
          </w:p>
        </w:tc>
        <w:tc>
          <w:tcPr>
            <w:tcW w:w="14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w w:val="89"/>
              </w:rPr>
              <w:t>2019</w:t>
            </w:r>
          </w:p>
        </w:tc>
        <w:tc>
          <w:tcPr>
            <w:tcW w:w="2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rPr>
              <w:t>2020</w:t>
            </w:r>
          </w:p>
        </w:tc>
        <w:tc>
          <w:tcPr>
            <w:tcW w:w="14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w w:val="89"/>
              </w:rPr>
              <w:t>2019</w:t>
            </w:r>
          </w:p>
        </w:tc>
        <w:tc>
          <w:tcPr>
            <w:tcW w:w="100" w:type="dxa"/>
            <w:vAlign w:val="bottom"/>
            <w:tcBorders>
              <w:bottom w:val="single" w:sz="8" w:color="CCEEFF"/>
            </w:tcBorders>
          </w:tcPr>
          <w:p>
            <w:pPr>
              <w:spacing w:after="0"/>
              <w:rPr>
                <w:sz w:val="19"/>
                <w:szCs w:val="19"/>
                <w:color w:val="auto"/>
              </w:rPr>
            </w:pPr>
          </w:p>
        </w:tc>
      </w:tr>
      <w:tr>
        <w:trPr>
          <w:trHeight w:val="209"/>
        </w:trPr>
        <w:tc>
          <w:tcPr>
            <w:tcW w:w="452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10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520" w:type="dxa"/>
            <w:vAlign w:val="bottom"/>
          </w:tcPr>
          <w:p>
            <w:pPr>
              <w:ind w:left="140"/>
              <w:spacing w:after="0"/>
              <w:rPr>
                <w:sz w:val="20"/>
                <w:szCs w:val="20"/>
                <w:color w:val="auto"/>
              </w:rPr>
            </w:pPr>
            <w:r>
              <w:rPr>
                <w:rFonts w:ascii="Arial" w:cs="Arial" w:eastAsia="Arial" w:hAnsi="Arial"/>
                <w:sz w:val="18"/>
                <w:szCs w:val="18"/>
                <w:color w:val="auto"/>
              </w:rPr>
              <w:t>Royalties</w:t>
            </w:r>
          </w:p>
        </w:tc>
        <w:tc>
          <w:tcPr>
            <w:tcW w:w="1280" w:type="dxa"/>
            <w:vAlign w:val="bottom"/>
            <w:gridSpan w:val="2"/>
          </w:tcPr>
          <w:p>
            <w:pPr>
              <w:jc w:val="right"/>
              <w:ind w:right="9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61"/>
              <w:spacing w:after="0"/>
              <w:rPr>
                <w:sz w:val="20"/>
                <w:szCs w:val="20"/>
                <w:color w:val="auto"/>
              </w:rPr>
            </w:pPr>
            <w:r>
              <w:rPr>
                <w:rFonts w:ascii="Arial" w:cs="Arial" w:eastAsia="Arial" w:hAnsi="Arial"/>
                <w:sz w:val="18"/>
                <w:szCs w:val="18"/>
                <w:color w:val="auto"/>
              </w:rPr>
              <w:t>28</w:t>
            </w:r>
          </w:p>
        </w:tc>
        <w:tc>
          <w:tcPr>
            <w:tcW w:w="500" w:type="dxa"/>
            <w:vAlign w:val="bottom"/>
            <w:gridSpan w:val="2"/>
          </w:tcPr>
          <w:p>
            <w:pPr>
              <w:jc w:val="right"/>
              <w:ind w:right="247"/>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87</w:t>
            </w:r>
          </w:p>
        </w:tc>
        <w:tc>
          <w:tcPr>
            <w:tcW w:w="260" w:type="dxa"/>
            <w:vAlign w:val="bottom"/>
          </w:tcPr>
          <w:p>
            <w:pPr>
              <w:jc w:val="right"/>
              <w:ind w:right="107"/>
              <w:spacing w:after="0"/>
              <w:rPr>
                <w:sz w:val="20"/>
                <w:szCs w:val="20"/>
                <w:color w:val="auto"/>
              </w:rPr>
            </w:pPr>
            <w:r>
              <w:rPr>
                <w:rFonts w:ascii="Arial" w:cs="Arial" w:eastAsia="Arial" w:hAnsi="Arial"/>
                <w:sz w:val="15"/>
                <w:szCs w:val="15"/>
                <w:color w:val="auto"/>
                <w:w w:val="71"/>
              </w:rPr>
              <w:t>$</w:t>
            </w:r>
          </w:p>
        </w:tc>
        <w:tc>
          <w:tcPr>
            <w:tcW w:w="1100" w:type="dxa"/>
            <w:vAlign w:val="bottom"/>
            <w:gridSpan w:val="2"/>
          </w:tcPr>
          <w:p>
            <w:pPr>
              <w:jc w:val="right"/>
              <w:ind w:right="61"/>
              <w:spacing w:after="0"/>
              <w:rPr>
                <w:sz w:val="20"/>
                <w:szCs w:val="20"/>
                <w:color w:val="auto"/>
              </w:rPr>
            </w:pPr>
            <w:r>
              <w:rPr>
                <w:rFonts w:ascii="Arial" w:cs="Arial" w:eastAsia="Arial" w:hAnsi="Arial"/>
                <w:sz w:val="18"/>
                <w:szCs w:val="18"/>
                <w:color w:val="auto"/>
              </w:rPr>
              <w:t>109</w:t>
            </w:r>
          </w:p>
        </w:tc>
        <w:tc>
          <w:tcPr>
            <w:tcW w:w="500" w:type="dxa"/>
            <w:vAlign w:val="bottom"/>
            <w:gridSpan w:val="2"/>
          </w:tcPr>
          <w:p>
            <w:pPr>
              <w:jc w:val="right"/>
              <w:ind w:right="23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21"/>
              <w:spacing w:after="0"/>
              <w:rPr>
                <w:sz w:val="20"/>
                <w:szCs w:val="20"/>
                <w:color w:val="auto"/>
              </w:rPr>
            </w:pPr>
            <w:r>
              <w:rPr>
                <w:rFonts w:ascii="Arial" w:cs="Arial" w:eastAsia="Arial" w:hAnsi="Arial"/>
                <w:sz w:val="18"/>
                <w:szCs w:val="18"/>
                <w:color w:val="auto"/>
              </w:rPr>
              <w:t>372</w:t>
            </w:r>
          </w:p>
        </w:tc>
      </w:tr>
      <w:tr>
        <w:trPr>
          <w:trHeight w:val="216"/>
        </w:trPr>
        <w:tc>
          <w:tcPr>
            <w:tcW w:w="45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Collaboration – related party</w:t>
            </w:r>
          </w:p>
        </w:tc>
        <w:tc>
          <w:tcPr>
            <w:tcW w:w="10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90</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83</w:t>
            </w:r>
          </w:p>
        </w:tc>
        <w:tc>
          <w:tcPr>
            <w:tcW w:w="2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238</w:t>
            </w: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185</w:t>
            </w:r>
          </w:p>
        </w:tc>
      </w:tr>
      <w:tr>
        <w:trPr>
          <w:trHeight w:val="216"/>
        </w:trPr>
        <w:tc>
          <w:tcPr>
            <w:tcW w:w="4520" w:type="dxa"/>
            <w:vAlign w:val="bottom"/>
          </w:tcPr>
          <w:p>
            <w:pPr>
              <w:ind w:left="140"/>
              <w:spacing w:after="0"/>
              <w:rPr>
                <w:sz w:val="20"/>
                <w:szCs w:val="20"/>
                <w:color w:val="auto"/>
              </w:rPr>
            </w:pPr>
            <w:r>
              <w:rPr>
                <w:rFonts w:ascii="Arial" w:cs="Arial" w:eastAsia="Arial" w:hAnsi="Arial"/>
                <w:sz w:val="18"/>
                <w:szCs w:val="18"/>
                <w:color w:val="auto"/>
              </w:rPr>
              <w:t>License fees – related party</w:t>
            </w:r>
          </w:p>
        </w:tc>
        <w:tc>
          <w:tcPr>
            <w:tcW w:w="10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20" w:type="dxa"/>
            <w:vAlign w:val="bottom"/>
            <w:gridSpan w:val="2"/>
          </w:tcPr>
          <w:p>
            <w:pPr>
              <w:jc w:val="right"/>
              <w:ind w:right="61"/>
              <w:spacing w:after="0"/>
              <w:rPr>
                <w:sz w:val="20"/>
                <w:szCs w:val="20"/>
                <w:color w:val="auto"/>
              </w:rPr>
            </w:pPr>
            <w:r>
              <w:rPr>
                <w:rFonts w:ascii="Arial" w:cs="Arial" w:eastAsia="Arial" w:hAnsi="Arial"/>
                <w:sz w:val="18"/>
                <w:szCs w:val="18"/>
                <w:color w:val="auto"/>
              </w:rPr>
              <w:t>600</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1,050</w:t>
            </w:r>
          </w:p>
        </w:tc>
        <w:tc>
          <w:tcPr>
            <w:tcW w:w="260" w:type="dxa"/>
            <w:vAlign w:val="bottom"/>
          </w:tcPr>
          <w:p>
            <w:pPr>
              <w:spacing w:after="0"/>
              <w:rPr>
                <w:sz w:val="18"/>
                <w:szCs w:val="18"/>
                <w:color w:val="auto"/>
              </w:rPr>
            </w:pPr>
          </w:p>
        </w:tc>
        <w:tc>
          <w:tcPr>
            <w:tcW w:w="1100" w:type="dxa"/>
            <w:vAlign w:val="bottom"/>
            <w:gridSpan w:val="2"/>
          </w:tcPr>
          <w:p>
            <w:pPr>
              <w:jc w:val="right"/>
              <w:ind w:right="61"/>
              <w:spacing w:after="0"/>
              <w:rPr>
                <w:sz w:val="20"/>
                <w:szCs w:val="20"/>
                <w:color w:val="auto"/>
              </w:rPr>
            </w:pPr>
            <w:r>
              <w:rPr>
                <w:rFonts w:ascii="Arial" w:cs="Arial" w:eastAsia="Arial" w:hAnsi="Arial"/>
                <w:sz w:val="18"/>
                <w:szCs w:val="18"/>
                <w:color w:val="auto"/>
              </w:rPr>
              <w:t>3,000</w:t>
            </w: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20" w:type="dxa"/>
            <w:vAlign w:val="bottom"/>
            <w:gridSpan w:val="2"/>
          </w:tcPr>
          <w:p>
            <w:pPr>
              <w:jc w:val="right"/>
              <w:ind w:right="21"/>
              <w:spacing w:after="0"/>
              <w:rPr>
                <w:sz w:val="20"/>
                <w:szCs w:val="20"/>
                <w:color w:val="auto"/>
              </w:rPr>
            </w:pPr>
            <w:r>
              <w:rPr>
                <w:rFonts w:ascii="Arial" w:cs="Arial" w:eastAsia="Arial" w:hAnsi="Arial"/>
                <w:sz w:val="18"/>
                <w:szCs w:val="18"/>
                <w:color w:val="auto"/>
              </w:rPr>
              <w:t>2,100</w:t>
            </w:r>
          </w:p>
        </w:tc>
      </w:tr>
      <w:tr>
        <w:trPr>
          <w:trHeight w:val="229"/>
        </w:trPr>
        <w:tc>
          <w:tcPr>
            <w:tcW w:w="45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Product sales</w:t>
            </w:r>
          </w:p>
        </w:tc>
        <w:tc>
          <w:tcPr>
            <w:tcW w:w="10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223</w:t>
            </w:r>
          </w:p>
        </w:tc>
        <w:tc>
          <w:tcPr>
            <w:tcW w:w="8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w:t>
            </w:r>
          </w:p>
        </w:tc>
      </w:tr>
      <w:tr>
        <w:trPr>
          <w:trHeight w:val="210"/>
        </w:trPr>
        <w:tc>
          <w:tcPr>
            <w:tcW w:w="45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Total revenues</w:t>
            </w:r>
          </w:p>
        </w:tc>
        <w:tc>
          <w:tcPr>
            <w:tcW w:w="1000" w:type="dxa"/>
            <w:vAlign w:val="bottom"/>
            <w:tcBorders>
              <w:bottom w:val="single" w:sz="8" w:color="CCEEFF"/>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718</w:t>
            </w:r>
          </w:p>
        </w:tc>
        <w:tc>
          <w:tcPr>
            <w:tcW w:w="14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400" w:type="dxa"/>
            <w:vAlign w:val="bottom"/>
            <w:tcBorders>
              <w:top w:val="single" w:sz="8" w:color="auto"/>
              <w:bottom w:val="single" w:sz="8" w:color="auto"/>
            </w:tcBorders>
          </w:tcPr>
          <w:p>
            <w:pPr>
              <w:spacing w:after="0"/>
              <w:rPr>
                <w:sz w:val="18"/>
                <w:szCs w:val="18"/>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1,220</w:t>
            </w:r>
          </w:p>
        </w:tc>
        <w:tc>
          <w:tcPr>
            <w:tcW w:w="220" w:type="dxa"/>
            <w:vAlign w:val="bottom"/>
            <w:tcBorders>
              <w:bottom w:val="single" w:sz="8" w:color="CCEEFF"/>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3,570</w:t>
            </w:r>
          </w:p>
        </w:tc>
        <w:tc>
          <w:tcPr>
            <w:tcW w:w="14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420" w:type="dxa"/>
            <w:vAlign w:val="bottom"/>
            <w:tcBorders>
              <w:top w:val="single" w:sz="8" w:color="auto"/>
              <w:bottom w:val="single" w:sz="8" w:color="auto"/>
            </w:tcBorders>
          </w:tcPr>
          <w:p>
            <w:pPr>
              <w:spacing w:after="0"/>
              <w:rPr>
                <w:sz w:val="18"/>
                <w:szCs w:val="18"/>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2,657</w:t>
            </w:r>
          </w:p>
        </w:tc>
        <w:tc>
          <w:tcPr>
            <w:tcW w:w="100" w:type="dxa"/>
            <w:vAlign w:val="bottom"/>
            <w:tcBorders>
              <w:bottom w:val="single" w:sz="8" w:color="CCEEFF"/>
            </w:tcBorders>
          </w:tcPr>
          <w:p>
            <w:pPr>
              <w:spacing w:after="0"/>
              <w:rPr>
                <w:sz w:val="18"/>
                <w:szCs w:val="18"/>
                <w:color w:val="auto"/>
              </w:rPr>
            </w:pPr>
          </w:p>
        </w:tc>
      </w:tr>
      <w:tr>
        <w:trPr>
          <w:trHeight w:val="209"/>
        </w:trPr>
        <w:tc>
          <w:tcPr>
            <w:tcW w:w="4520" w:type="dxa"/>
            <w:vAlign w:val="bottom"/>
            <w:shd w:val="clear" w:color="auto" w:fill="CCEEFF"/>
          </w:tcPr>
          <w:p>
            <w:pPr>
              <w:spacing w:after="0"/>
              <w:rPr>
                <w:sz w:val="20"/>
                <w:szCs w:val="20"/>
                <w:color w:val="auto"/>
              </w:rPr>
            </w:pPr>
            <w:r>
              <w:rPr>
                <w:rFonts w:ascii="Arial" w:cs="Arial" w:eastAsia="Arial" w:hAnsi="Arial"/>
                <w:sz w:val="18"/>
                <w:szCs w:val="18"/>
                <w:color w:val="auto"/>
              </w:rPr>
              <w:t>Operating expenses:</w:t>
            </w:r>
          </w:p>
        </w:tc>
        <w:tc>
          <w:tcPr>
            <w:tcW w:w="10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520" w:type="dxa"/>
            <w:vAlign w:val="bottom"/>
          </w:tcPr>
          <w:p>
            <w:pPr>
              <w:ind w:left="140"/>
              <w:spacing w:after="0"/>
              <w:rPr>
                <w:sz w:val="20"/>
                <w:szCs w:val="20"/>
                <w:color w:val="auto"/>
              </w:rPr>
            </w:pPr>
            <w:r>
              <w:rPr>
                <w:rFonts w:ascii="Arial" w:cs="Arial" w:eastAsia="Arial" w:hAnsi="Arial"/>
                <w:sz w:val="18"/>
                <w:szCs w:val="18"/>
                <w:color w:val="auto"/>
              </w:rPr>
              <w:t>Research and development</w:t>
            </w:r>
          </w:p>
        </w:tc>
        <w:tc>
          <w:tcPr>
            <w:tcW w:w="10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20" w:type="dxa"/>
            <w:vAlign w:val="bottom"/>
            <w:gridSpan w:val="2"/>
          </w:tcPr>
          <w:p>
            <w:pPr>
              <w:jc w:val="right"/>
              <w:ind w:right="61"/>
              <w:spacing w:after="0"/>
              <w:rPr>
                <w:sz w:val="20"/>
                <w:szCs w:val="20"/>
                <w:color w:val="auto"/>
              </w:rPr>
            </w:pPr>
            <w:r>
              <w:rPr>
                <w:rFonts w:ascii="Arial" w:cs="Arial" w:eastAsia="Arial" w:hAnsi="Arial"/>
                <w:sz w:val="18"/>
                <w:szCs w:val="18"/>
                <w:color w:val="auto"/>
              </w:rPr>
              <w:t>430</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465</w:t>
            </w:r>
          </w:p>
        </w:tc>
        <w:tc>
          <w:tcPr>
            <w:tcW w:w="260" w:type="dxa"/>
            <w:vAlign w:val="bottom"/>
          </w:tcPr>
          <w:p>
            <w:pPr>
              <w:spacing w:after="0"/>
              <w:rPr>
                <w:sz w:val="18"/>
                <w:szCs w:val="18"/>
                <w:color w:val="auto"/>
              </w:rPr>
            </w:pPr>
          </w:p>
        </w:tc>
        <w:tc>
          <w:tcPr>
            <w:tcW w:w="1100" w:type="dxa"/>
            <w:vAlign w:val="bottom"/>
            <w:gridSpan w:val="2"/>
          </w:tcPr>
          <w:p>
            <w:pPr>
              <w:jc w:val="right"/>
              <w:ind w:right="61"/>
              <w:spacing w:after="0"/>
              <w:rPr>
                <w:sz w:val="20"/>
                <w:szCs w:val="20"/>
                <w:color w:val="auto"/>
              </w:rPr>
            </w:pPr>
            <w:r>
              <w:rPr>
                <w:rFonts w:ascii="Arial" w:cs="Arial" w:eastAsia="Arial" w:hAnsi="Arial"/>
                <w:sz w:val="18"/>
                <w:szCs w:val="18"/>
                <w:color w:val="auto"/>
              </w:rPr>
              <w:t>1,781</w:t>
            </w: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20" w:type="dxa"/>
            <w:vAlign w:val="bottom"/>
            <w:gridSpan w:val="2"/>
          </w:tcPr>
          <w:p>
            <w:pPr>
              <w:jc w:val="right"/>
              <w:ind w:right="21"/>
              <w:spacing w:after="0"/>
              <w:rPr>
                <w:sz w:val="20"/>
                <w:szCs w:val="20"/>
                <w:color w:val="auto"/>
              </w:rPr>
            </w:pPr>
            <w:r>
              <w:rPr>
                <w:rFonts w:ascii="Arial" w:cs="Arial" w:eastAsia="Arial" w:hAnsi="Arial"/>
                <w:sz w:val="18"/>
                <w:szCs w:val="18"/>
                <w:color w:val="auto"/>
              </w:rPr>
              <w:t>1,505</w:t>
            </w:r>
          </w:p>
        </w:tc>
      </w:tr>
      <w:tr>
        <w:trPr>
          <w:trHeight w:val="229"/>
        </w:trPr>
        <w:tc>
          <w:tcPr>
            <w:tcW w:w="45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General and administrative</w:t>
            </w:r>
          </w:p>
        </w:tc>
        <w:tc>
          <w:tcPr>
            <w:tcW w:w="10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419</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486</w:t>
            </w:r>
          </w:p>
        </w:tc>
        <w:tc>
          <w:tcPr>
            <w:tcW w:w="26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2,547</w:t>
            </w:r>
          </w:p>
        </w:tc>
        <w:tc>
          <w:tcPr>
            <w:tcW w:w="8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1,877</w:t>
            </w:r>
          </w:p>
        </w:tc>
      </w:tr>
      <w:tr>
        <w:trPr>
          <w:trHeight w:val="210"/>
        </w:trPr>
        <w:tc>
          <w:tcPr>
            <w:tcW w:w="45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Total operating expenses</w:t>
            </w:r>
          </w:p>
        </w:tc>
        <w:tc>
          <w:tcPr>
            <w:tcW w:w="1000" w:type="dxa"/>
            <w:vAlign w:val="bottom"/>
            <w:tcBorders>
              <w:bottom w:val="single" w:sz="8" w:color="CCEEFF"/>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849</w:t>
            </w:r>
          </w:p>
        </w:tc>
        <w:tc>
          <w:tcPr>
            <w:tcW w:w="14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400" w:type="dxa"/>
            <w:vAlign w:val="bottom"/>
            <w:tcBorders>
              <w:top w:val="single" w:sz="8" w:color="auto"/>
              <w:bottom w:val="single" w:sz="8" w:color="auto"/>
            </w:tcBorders>
          </w:tcPr>
          <w:p>
            <w:pPr>
              <w:spacing w:after="0"/>
              <w:rPr>
                <w:sz w:val="18"/>
                <w:szCs w:val="18"/>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951</w:t>
            </w:r>
          </w:p>
        </w:tc>
        <w:tc>
          <w:tcPr>
            <w:tcW w:w="220" w:type="dxa"/>
            <w:vAlign w:val="bottom"/>
            <w:tcBorders>
              <w:bottom w:val="single" w:sz="8" w:color="CCEEFF"/>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4,328</w:t>
            </w:r>
          </w:p>
        </w:tc>
        <w:tc>
          <w:tcPr>
            <w:tcW w:w="14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420" w:type="dxa"/>
            <w:vAlign w:val="bottom"/>
            <w:tcBorders>
              <w:top w:val="single" w:sz="8" w:color="auto"/>
              <w:bottom w:val="single" w:sz="8" w:color="auto"/>
            </w:tcBorders>
          </w:tcPr>
          <w:p>
            <w:pPr>
              <w:spacing w:after="0"/>
              <w:rPr>
                <w:sz w:val="18"/>
                <w:szCs w:val="18"/>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3,382</w:t>
            </w:r>
          </w:p>
        </w:tc>
        <w:tc>
          <w:tcPr>
            <w:tcW w:w="100" w:type="dxa"/>
            <w:vAlign w:val="bottom"/>
            <w:tcBorders>
              <w:bottom w:val="single" w:sz="8" w:color="CCEEFF"/>
            </w:tcBorders>
          </w:tcPr>
          <w:p>
            <w:pPr>
              <w:spacing w:after="0"/>
              <w:rPr>
                <w:sz w:val="18"/>
                <w:szCs w:val="18"/>
                <w:color w:val="auto"/>
              </w:rPr>
            </w:pPr>
          </w:p>
        </w:tc>
      </w:tr>
      <w:tr>
        <w:trPr>
          <w:trHeight w:val="209"/>
        </w:trPr>
        <w:tc>
          <w:tcPr>
            <w:tcW w:w="4520" w:type="dxa"/>
            <w:vAlign w:val="bottom"/>
            <w:shd w:val="clear" w:color="auto" w:fill="CCEEFF"/>
          </w:tcPr>
          <w:p>
            <w:pPr>
              <w:spacing w:after="0"/>
              <w:rPr>
                <w:sz w:val="20"/>
                <w:szCs w:val="20"/>
                <w:color w:val="auto"/>
              </w:rPr>
            </w:pPr>
            <w:r>
              <w:rPr>
                <w:rFonts w:ascii="Arial" w:cs="Arial" w:eastAsia="Arial" w:hAnsi="Arial"/>
                <w:sz w:val="18"/>
                <w:szCs w:val="18"/>
                <w:color w:val="auto"/>
              </w:rPr>
              <w:t>Operating (loss) income</w:t>
            </w:r>
          </w:p>
        </w:tc>
        <w:tc>
          <w:tcPr>
            <w:tcW w:w="10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269</w:t>
            </w: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(758)</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(725)</w:t>
            </w:r>
          </w:p>
        </w:tc>
        <w:tc>
          <w:tcPr>
            <w:tcW w:w="100" w:type="dxa"/>
            <w:vAlign w:val="bottom"/>
            <w:shd w:val="clear" w:color="auto" w:fill="CCEEFF"/>
          </w:tcPr>
          <w:p>
            <w:pPr>
              <w:spacing w:after="0"/>
              <w:rPr>
                <w:sz w:val="18"/>
                <w:szCs w:val="18"/>
                <w:color w:val="auto"/>
              </w:rPr>
            </w:pPr>
          </w:p>
        </w:tc>
      </w:tr>
      <w:tr>
        <w:trPr>
          <w:trHeight w:val="216"/>
        </w:trPr>
        <w:tc>
          <w:tcPr>
            <w:tcW w:w="4520" w:type="dxa"/>
            <w:vAlign w:val="bottom"/>
          </w:tcPr>
          <w:p>
            <w:pPr>
              <w:spacing w:after="0"/>
              <w:rPr>
                <w:sz w:val="20"/>
                <w:szCs w:val="20"/>
                <w:color w:val="auto"/>
              </w:rPr>
            </w:pPr>
            <w:r>
              <w:rPr>
                <w:rFonts w:ascii="Arial" w:cs="Arial" w:eastAsia="Arial" w:hAnsi="Arial"/>
                <w:sz w:val="18"/>
                <w:szCs w:val="18"/>
                <w:color w:val="auto"/>
              </w:rPr>
              <w:t>Loss on debt extinguishment</w:t>
            </w:r>
          </w:p>
        </w:tc>
        <w:tc>
          <w:tcPr>
            <w:tcW w:w="10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20" w:type="dxa"/>
            <w:vAlign w:val="bottom"/>
            <w:gridSpan w:val="2"/>
          </w:tcPr>
          <w:p>
            <w:pPr>
              <w:jc w:val="right"/>
              <w:ind w:right="6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100" w:type="dxa"/>
            <w:vAlign w:val="bottom"/>
            <w:gridSpan w:val="2"/>
          </w:tcPr>
          <w:p>
            <w:pPr>
              <w:jc w:val="right"/>
              <w:ind w:right="61"/>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(2,600)</w:t>
            </w:r>
          </w:p>
        </w:tc>
      </w:tr>
      <w:tr>
        <w:trPr>
          <w:trHeight w:val="230"/>
        </w:trPr>
        <w:tc>
          <w:tcPr>
            <w:tcW w:w="452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10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
              <w:spacing w:after="0"/>
              <w:rPr>
                <w:sz w:val="20"/>
                <w:szCs w:val="20"/>
                <w:color w:val="auto"/>
              </w:rPr>
            </w:pPr>
            <w:r>
              <w:rPr>
                <w:rFonts w:ascii="Arial" w:cs="Arial" w:eastAsia="Arial" w:hAnsi="Arial"/>
                <w:sz w:val="18"/>
                <w:szCs w:val="18"/>
                <w:color w:val="auto"/>
              </w:rPr>
              <w:t>(112)</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(114)</w:t>
            </w:r>
          </w:p>
        </w:tc>
        <w:tc>
          <w:tcPr>
            <w:tcW w:w="26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
              <w:spacing w:after="0"/>
              <w:rPr>
                <w:sz w:val="20"/>
                <w:szCs w:val="20"/>
                <w:color w:val="auto"/>
              </w:rPr>
            </w:pPr>
            <w:r>
              <w:rPr>
                <w:rFonts w:ascii="Arial" w:cs="Arial" w:eastAsia="Arial" w:hAnsi="Arial"/>
                <w:sz w:val="18"/>
                <w:szCs w:val="18"/>
                <w:color w:val="auto"/>
              </w:rPr>
              <w:t>(450)</w:t>
            </w:r>
          </w:p>
        </w:tc>
        <w:tc>
          <w:tcPr>
            <w:tcW w:w="8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(449)</w:t>
            </w:r>
          </w:p>
        </w:tc>
      </w:tr>
      <w:tr>
        <w:trPr>
          <w:trHeight w:val="209"/>
        </w:trPr>
        <w:tc>
          <w:tcPr>
            <w:tcW w:w="4520" w:type="dxa"/>
            <w:vAlign w:val="bottom"/>
          </w:tcPr>
          <w:p>
            <w:pPr>
              <w:spacing w:after="0"/>
              <w:rPr>
                <w:sz w:val="20"/>
                <w:szCs w:val="20"/>
                <w:color w:val="auto"/>
              </w:rPr>
            </w:pPr>
            <w:r>
              <w:rPr>
                <w:rFonts w:ascii="Arial" w:cs="Arial" w:eastAsia="Arial" w:hAnsi="Arial"/>
                <w:sz w:val="18"/>
                <w:szCs w:val="18"/>
                <w:color w:val="auto"/>
              </w:rPr>
              <w:t>(Loss) income before provision for income taxes</w:t>
            </w:r>
          </w:p>
        </w:tc>
        <w:tc>
          <w:tcPr>
            <w:tcW w:w="100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(243)</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155</w:t>
            </w:r>
          </w:p>
        </w:tc>
        <w:tc>
          <w:tcPr>
            <w:tcW w:w="22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(1,208)</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(3,774)</w:t>
            </w:r>
          </w:p>
        </w:tc>
        <w:tc>
          <w:tcPr>
            <w:tcW w:w="100" w:type="dxa"/>
            <w:vAlign w:val="bottom"/>
          </w:tcPr>
          <w:p>
            <w:pPr>
              <w:spacing w:after="0"/>
              <w:rPr>
                <w:sz w:val="18"/>
                <w:szCs w:val="18"/>
                <w:color w:val="auto"/>
              </w:rPr>
            </w:pPr>
          </w:p>
        </w:tc>
      </w:tr>
      <w:tr>
        <w:trPr>
          <w:trHeight w:val="230"/>
        </w:trPr>
        <w:tc>
          <w:tcPr>
            <w:tcW w:w="4520" w:type="dxa"/>
            <w:vAlign w:val="bottom"/>
            <w:shd w:val="clear" w:color="auto" w:fill="CCEEFF"/>
          </w:tcPr>
          <w:p>
            <w:pPr>
              <w:spacing w:after="0"/>
              <w:rPr>
                <w:sz w:val="20"/>
                <w:szCs w:val="20"/>
                <w:color w:val="auto"/>
              </w:rPr>
            </w:pPr>
            <w:r>
              <w:rPr>
                <w:rFonts w:ascii="Arial" w:cs="Arial" w:eastAsia="Arial" w:hAnsi="Arial"/>
                <w:sz w:val="18"/>
                <w:szCs w:val="18"/>
                <w:color w:val="auto"/>
              </w:rPr>
              <w:t>Provision for income taxes</w:t>
            </w:r>
          </w:p>
        </w:tc>
        <w:tc>
          <w:tcPr>
            <w:tcW w:w="10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w:t>
            </w:r>
          </w:p>
        </w:tc>
      </w:tr>
      <w:tr>
        <w:trPr>
          <w:trHeight w:val="209"/>
        </w:trPr>
        <w:tc>
          <w:tcPr>
            <w:tcW w:w="45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Net (loss) income</w:t>
            </w:r>
          </w:p>
        </w:tc>
        <w:tc>
          <w:tcPr>
            <w:tcW w:w="1000" w:type="dxa"/>
            <w:vAlign w:val="bottom"/>
            <w:tcBorders>
              <w:bottom w:val="single" w:sz="8" w:color="CCEEFF"/>
            </w:tcBorders>
          </w:tcPr>
          <w:p>
            <w:pPr>
              <w:spacing w:after="0"/>
              <w:rPr>
                <w:sz w:val="18"/>
                <w:szCs w:val="18"/>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(243</w:t>
            </w:r>
          </w:p>
        </w:tc>
        <w:tc>
          <w:tcPr>
            <w:tcW w:w="140" w:type="dxa"/>
            <w:vAlign w:val="bottom"/>
            <w:tcBorders>
              <w:bottom w:val="single" w:sz="8" w:color="CCEEFF"/>
            </w:tcBorders>
          </w:tcPr>
          <w:p>
            <w:pPr>
              <w:jc w:val="right"/>
              <w:ind w:right="1"/>
              <w:spacing w:after="0"/>
              <w:rPr>
                <w:sz w:val="20"/>
                <w:szCs w:val="20"/>
                <w:color w:val="auto"/>
              </w:rPr>
            </w:pPr>
            <w:r>
              <w:rPr>
                <w:rFonts w:ascii="Arial" w:cs="Arial" w:eastAsia="Arial" w:hAnsi="Arial"/>
                <w:sz w:val="16"/>
                <w:szCs w:val="16"/>
                <w:color w:val="auto"/>
                <w:w w:val="74"/>
              </w:rPr>
              <w:t>)</w:t>
            </w:r>
          </w:p>
        </w:tc>
        <w:tc>
          <w:tcPr>
            <w:tcW w:w="100" w:type="dxa"/>
            <w:vAlign w:val="bottom"/>
            <w:tcBorders>
              <w:bottom w:val="single" w:sz="8" w:color="CCEEFF"/>
            </w:tcBorders>
          </w:tcPr>
          <w:p>
            <w:pPr>
              <w:spacing w:after="0"/>
              <w:rPr>
                <w:sz w:val="18"/>
                <w:szCs w:val="18"/>
                <w:color w:val="auto"/>
              </w:rPr>
            </w:pPr>
          </w:p>
        </w:tc>
        <w:tc>
          <w:tcPr>
            <w:tcW w:w="400" w:type="dxa"/>
            <w:vAlign w:val="bottom"/>
            <w:tcBorders>
              <w:top w:val="single" w:sz="8" w:color="auto"/>
              <w:bottom w:val="single" w:sz="8" w:color="auto"/>
            </w:tcBorders>
          </w:tcPr>
          <w:p>
            <w:pPr>
              <w:jc w:val="right"/>
              <w:ind w:right="247"/>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155</w:t>
            </w:r>
          </w:p>
        </w:tc>
        <w:tc>
          <w:tcPr>
            <w:tcW w:w="220" w:type="dxa"/>
            <w:vAlign w:val="bottom"/>
            <w:tcBorders>
              <w:bottom w:val="single" w:sz="8" w:color="CCEEFF"/>
            </w:tcBorders>
          </w:tcPr>
          <w:p>
            <w:pPr>
              <w:spacing w:after="0"/>
              <w:rPr>
                <w:sz w:val="18"/>
                <w:szCs w:val="18"/>
                <w:color w:val="auto"/>
              </w:rPr>
            </w:pPr>
          </w:p>
        </w:tc>
        <w:tc>
          <w:tcPr>
            <w:tcW w:w="260" w:type="dxa"/>
            <w:vAlign w:val="bottom"/>
            <w:tcBorders>
              <w:top w:val="single" w:sz="8" w:color="auto"/>
              <w:bottom w:val="single" w:sz="8" w:color="auto"/>
            </w:tcBorders>
          </w:tcPr>
          <w:p>
            <w:pPr>
              <w:jc w:val="right"/>
              <w:ind w:right="107"/>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(1,208</w:t>
            </w:r>
          </w:p>
        </w:tc>
        <w:tc>
          <w:tcPr>
            <w:tcW w:w="140" w:type="dxa"/>
            <w:vAlign w:val="bottom"/>
            <w:tcBorders>
              <w:bottom w:val="single" w:sz="8" w:color="CCEEFF"/>
            </w:tcBorders>
          </w:tcPr>
          <w:p>
            <w:pPr>
              <w:jc w:val="right"/>
              <w:ind w:right="1"/>
              <w:spacing w:after="0"/>
              <w:rPr>
                <w:sz w:val="20"/>
                <w:szCs w:val="20"/>
                <w:color w:val="auto"/>
              </w:rPr>
            </w:pPr>
            <w:r>
              <w:rPr>
                <w:rFonts w:ascii="Arial" w:cs="Arial" w:eastAsia="Arial" w:hAnsi="Arial"/>
                <w:sz w:val="16"/>
                <w:szCs w:val="16"/>
                <w:color w:val="auto"/>
                <w:w w:val="74"/>
              </w:rPr>
              <w:t>)</w:t>
            </w:r>
          </w:p>
        </w:tc>
        <w:tc>
          <w:tcPr>
            <w:tcW w:w="80" w:type="dxa"/>
            <w:vAlign w:val="bottom"/>
            <w:tcBorders>
              <w:bottom w:val="single" w:sz="8" w:color="CCEEFF"/>
            </w:tcBorders>
          </w:tcPr>
          <w:p>
            <w:pPr>
              <w:spacing w:after="0"/>
              <w:rPr>
                <w:sz w:val="18"/>
                <w:szCs w:val="18"/>
                <w:color w:val="auto"/>
              </w:rPr>
            </w:pPr>
          </w:p>
        </w:tc>
        <w:tc>
          <w:tcPr>
            <w:tcW w:w="420" w:type="dxa"/>
            <w:vAlign w:val="bottom"/>
            <w:tcBorders>
              <w:top w:val="single" w:sz="8" w:color="auto"/>
              <w:bottom w:val="single" w:sz="8" w:color="auto"/>
            </w:tcBorders>
          </w:tcPr>
          <w:p>
            <w:pPr>
              <w:jc w:val="right"/>
              <w:ind w:right="230"/>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(3,774</w:t>
            </w:r>
          </w:p>
        </w:tc>
        <w:tc>
          <w:tcPr>
            <w:tcW w:w="10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w w:val="74"/>
              </w:rPr>
              <w:t>)</w:t>
            </w:r>
          </w:p>
        </w:tc>
      </w:tr>
      <w:tr>
        <w:trPr>
          <w:trHeight w:val="209"/>
        </w:trPr>
        <w:tc>
          <w:tcPr>
            <w:tcW w:w="45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520" w:type="dxa"/>
            <w:vAlign w:val="bottom"/>
          </w:tcPr>
          <w:p>
            <w:pPr>
              <w:spacing w:after="0"/>
              <w:rPr>
                <w:sz w:val="20"/>
                <w:szCs w:val="20"/>
                <w:color w:val="auto"/>
              </w:rPr>
            </w:pPr>
            <w:r>
              <w:rPr>
                <w:rFonts w:ascii="Arial" w:cs="Arial" w:eastAsia="Arial" w:hAnsi="Arial"/>
                <w:sz w:val="18"/>
                <w:szCs w:val="18"/>
                <w:color w:val="auto"/>
              </w:rPr>
              <w:t>Net (loss) income per share:</w:t>
            </w:r>
          </w:p>
        </w:tc>
        <w:tc>
          <w:tcPr>
            <w:tcW w:w="10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5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Basic</w:t>
            </w:r>
          </w:p>
        </w:tc>
        <w:tc>
          <w:tcPr>
            <w:tcW w:w="128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1"/>
              <w:spacing w:after="0"/>
              <w:rPr>
                <w:sz w:val="20"/>
                <w:szCs w:val="20"/>
                <w:color w:val="auto"/>
              </w:rPr>
            </w:pPr>
            <w:r>
              <w:rPr>
                <w:rFonts w:ascii="Arial" w:cs="Arial" w:eastAsia="Arial" w:hAnsi="Arial"/>
                <w:sz w:val="18"/>
                <w:szCs w:val="18"/>
                <w:color w:val="auto"/>
              </w:rPr>
              <w:t>(0.01)</w:t>
            </w:r>
          </w:p>
        </w:tc>
        <w:tc>
          <w:tcPr>
            <w:tcW w:w="500" w:type="dxa"/>
            <w:vAlign w:val="bottom"/>
            <w:gridSpan w:val="2"/>
            <w:shd w:val="clear" w:color="auto" w:fill="CCEEFF"/>
          </w:tcPr>
          <w:p>
            <w:pPr>
              <w:jc w:val="right"/>
              <w:ind w:right="247"/>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0.00</w:t>
            </w:r>
          </w:p>
        </w:tc>
        <w:tc>
          <w:tcPr>
            <w:tcW w:w="260" w:type="dxa"/>
            <w:vAlign w:val="bottom"/>
            <w:shd w:val="clear" w:color="auto" w:fill="CCEEFF"/>
          </w:tcPr>
          <w:p>
            <w:pPr>
              <w:jc w:val="right"/>
              <w:ind w:right="107"/>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CCEEFF"/>
          </w:tcPr>
          <w:p>
            <w:pPr>
              <w:jc w:val="right"/>
              <w:ind w:right="1"/>
              <w:spacing w:after="0"/>
              <w:rPr>
                <w:sz w:val="20"/>
                <w:szCs w:val="20"/>
                <w:color w:val="auto"/>
              </w:rPr>
            </w:pPr>
            <w:r>
              <w:rPr>
                <w:rFonts w:ascii="Arial" w:cs="Arial" w:eastAsia="Arial" w:hAnsi="Arial"/>
                <w:sz w:val="18"/>
                <w:szCs w:val="18"/>
                <w:color w:val="auto"/>
              </w:rPr>
              <w:t>(0.04)</w:t>
            </w:r>
          </w:p>
        </w:tc>
        <w:tc>
          <w:tcPr>
            <w:tcW w:w="500" w:type="dxa"/>
            <w:vAlign w:val="bottom"/>
            <w:gridSpan w:val="2"/>
            <w:shd w:val="clear" w:color="auto" w:fill="CCEEFF"/>
          </w:tcPr>
          <w:p>
            <w:pPr>
              <w:jc w:val="right"/>
              <w:ind w:right="23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(0.14)</w:t>
            </w:r>
          </w:p>
        </w:tc>
      </w:tr>
      <w:tr>
        <w:trPr>
          <w:trHeight w:val="216"/>
        </w:trPr>
        <w:tc>
          <w:tcPr>
            <w:tcW w:w="4520" w:type="dxa"/>
            <w:vAlign w:val="bottom"/>
          </w:tcPr>
          <w:p>
            <w:pPr>
              <w:ind w:left="140"/>
              <w:spacing w:after="0"/>
              <w:rPr>
                <w:sz w:val="20"/>
                <w:szCs w:val="20"/>
                <w:color w:val="auto"/>
              </w:rPr>
            </w:pPr>
            <w:r>
              <w:rPr>
                <w:rFonts w:ascii="Arial" w:cs="Arial" w:eastAsia="Arial" w:hAnsi="Arial"/>
                <w:sz w:val="18"/>
                <w:szCs w:val="18"/>
                <w:color w:val="auto"/>
              </w:rPr>
              <w:t>Diluted</w:t>
            </w:r>
          </w:p>
        </w:tc>
        <w:tc>
          <w:tcPr>
            <w:tcW w:w="1280" w:type="dxa"/>
            <w:vAlign w:val="bottom"/>
            <w:gridSpan w:val="2"/>
          </w:tcPr>
          <w:p>
            <w:pPr>
              <w:jc w:val="right"/>
              <w:ind w:right="9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1"/>
              <w:spacing w:after="0"/>
              <w:rPr>
                <w:sz w:val="20"/>
                <w:szCs w:val="20"/>
                <w:color w:val="auto"/>
              </w:rPr>
            </w:pPr>
            <w:r>
              <w:rPr>
                <w:rFonts w:ascii="Arial" w:cs="Arial" w:eastAsia="Arial" w:hAnsi="Arial"/>
                <w:sz w:val="18"/>
                <w:szCs w:val="18"/>
                <w:color w:val="auto"/>
              </w:rPr>
              <w:t>(0.01)</w:t>
            </w:r>
          </w:p>
        </w:tc>
        <w:tc>
          <w:tcPr>
            <w:tcW w:w="500" w:type="dxa"/>
            <w:vAlign w:val="bottom"/>
            <w:gridSpan w:val="2"/>
          </w:tcPr>
          <w:p>
            <w:pPr>
              <w:jc w:val="right"/>
              <w:ind w:right="247"/>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0.00</w:t>
            </w:r>
          </w:p>
        </w:tc>
        <w:tc>
          <w:tcPr>
            <w:tcW w:w="260" w:type="dxa"/>
            <w:vAlign w:val="bottom"/>
          </w:tcPr>
          <w:p>
            <w:pPr>
              <w:jc w:val="right"/>
              <w:ind w:right="107"/>
              <w:spacing w:after="0"/>
              <w:rPr>
                <w:sz w:val="20"/>
                <w:szCs w:val="20"/>
                <w:color w:val="auto"/>
              </w:rPr>
            </w:pPr>
            <w:r>
              <w:rPr>
                <w:rFonts w:ascii="Arial" w:cs="Arial" w:eastAsia="Arial" w:hAnsi="Arial"/>
                <w:sz w:val="15"/>
                <w:szCs w:val="15"/>
                <w:color w:val="auto"/>
                <w:w w:val="71"/>
              </w:rPr>
              <w:t>$</w:t>
            </w:r>
          </w:p>
        </w:tc>
        <w:tc>
          <w:tcPr>
            <w:tcW w:w="1100" w:type="dxa"/>
            <w:vAlign w:val="bottom"/>
            <w:gridSpan w:val="2"/>
          </w:tcPr>
          <w:p>
            <w:pPr>
              <w:jc w:val="right"/>
              <w:ind w:right="1"/>
              <w:spacing w:after="0"/>
              <w:rPr>
                <w:sz w:val="20"/>
                <w:szCs w:val="20"/>
                <w:color w:val="auto"/>
              </w:rPr>
            </w:pPr>
            <w:r>
              <w:rPr>
                <w:rFonts w:ascii="Arial" w:cs="Arial" w:eastAsia="Arial" w:hAnsi="Arial"/>
                <w:sz w:val="18"/>
                <w:szCs w:val="18"/>
                <w:color w:val="auto"/>
              </w:rPr>
              <w:t>(0.04)</w:t>
            </w:r>
          </w:p>
        </w:tc>
        <w:tc>
          <w:tcPr>
            <w:tcW w:w="500" w:type="dxa"/>
            <w:vAlign w:val="bottom"/>
            <w:gridSpan w:val="2"/>
          </w:tcPr>
          <w:p>
            <w:pPr>
              <w:jc w:val="right"/>
              <w:ind w:right="23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(0.14)</w:t>
            </w:r>
          </w:p>
        </w:tc>
      </w:tr>
      <w:tr>
        <w:trPr>
          <w:trHeight w:val="216"/>
        </w:trPr>
        <w:tc>
          <w:tcPr>
            <w:tcW w:w="452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number of shares outstanding:</w:t>
            </w:r>
          </w:p>
        </w:tc>
        <w:tc>
          <w:tcPr>
            <w:tcW w:w="10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520" w:type="dxa"/>
            <w:vAlign w:val="bottom"/>
          </w:tcPr>
          <w:p>
            <w:pPr>
              <w:ind w:left="140"/>
              <w:spacing w:after="0"/>
              <w:rPr>
                <w:sz w:val="20"/>
                <w:szCs w:val="20"/>
                <w:color w:val="auto"/>
              </w:rPr>
            </w:pPr>
            <w:r>
              <w:rPr>
                <w:rFonts w:ascii="Arial" w:cs="Arial" w:eastAsia="Arial" w:hAnsi="Arial"/>
                <w:sz w:val="18"/>
                <w:szCs w:val="18"/>
                <w:color w:val="auto"/>
              </w:rPr>
              <w:t>Basic</w:t>
            </w:r>
          </w:p>
        </w:tc>
        <w:tc>
          <w:tcPr>
            <w:tcW w:w="10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20" w:type="dxa"/>
            <w:vAlign w:val="bottom"/>
            <w:gridSpan w:val="2"/>
          </w:tcPr>
          <w:p>
            <w:pPr>
              <w:jc w:val="right"/>
              <w:ind w:right="61"/>
              <w:spacing w:after="0"/>
              <w:rPr>
                <w:sz w:val="20"/>
                <w:szCs w:val="20"/>
                <w:color w:val="auto"/>
              </w:rPr>
            </w:pPr>
            <w:r>
              <w:rPr>
                <w:rFonts w:ascii="Arial" w:cs="Arial" w:eastAsia="Arial" w:hAnsi="Arial"/>
                <w:sz w:val="18"/>
                <w:szCs w:val="18"/>
                <w:color w:val="auto"/>
              </w:rPr>
              <w:t>32,319</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31,755</w:t>
            </w:r>
          </w:p>
        </w:tc>
        <w:tc>
          <w:tcPr>
            <w:tcW w:w="260" w:type="dxa"/>
            <w:vAlign w:val="bottom"/>
          </w:tcPr>
          <w:p>
            <w:pPr>
              <w:spacing w:after="0"/>
              <w:rPr>
                <w:sz w:val="18"/>
                <w:szCs w:val="18"/>
                <w:color w:val="auto"/>
              </w:rPr>
            </w:pPr>
          </w:p>
        </w:tc>
        <w:tc>
          <w:tcPr>
            <w:tcW w:w="1100" w:type="dxa"/>
            <w:vAlign w:val="bottom"/>
            <w:gridSpan w:val="2"/>
          </w:tcPr>
          <w:p>
            <w:pPr>
              <w:jc w:val="right"/>
              <w:ind w:right="61"/>
              <w:spacing w:after="0"/>
              <w:rPr>
                <w:sz w:val="20"/>
                <w:szCs w:val="20"/>
                <w:color w:val="auto"/>
              </w:rPr>
            </w:pPr>
            <w:r>
              <w:rPr>
                <w:rFonts w:ascii="Arial" w:cs="Arial" w:eastAsia="Arial" w:hAnsi="Arial"/>
                <w:sz w:val="18"/>
                <w:szCs w:val="18"/>
                <w:color w:val="auto"/>
              </w:rPr>
              <w:t>32,320</w:t>
            </w: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20" w:type="dxa"/>
            <w:vAlign w:val="bottom"/>
            <w:gridSpan w:val="2"/>
          </w:tcPr>
          <w:p>
            <w:pPr>
              <w:jc w:val="right"/>
              <w:ind w:right="21"/>
              <w:spacing w:after="0"/>
              <w:rPr>
                <w:sz w:val="20"/>
                <w:szCs w:val="20"/>
                <w:color w:val="auto"/>
              </w:rPr>
            </w:pPr>
            <w:r>
              <w:rPr>
                <w:rFonts w:ascii="Arial" w:cs="Arial" w:eastAsia="Arial" w:hAnsi="Arial"/>
                <w:sz w:val="18"/>
                <w:szCs w:val="18"/>
                <w:color w:val="auto"/>
              </w:rPr>
              <w:t>26,720</w:t>
            </w:r>
          </w:p>
        </w:tc>
      </w:tr>
      <w:tr>
        <w:trPr>
          <w:trHeight w:val="216"/>
        </w:trPr>
        <w:tc>
          <w:tcPr>
            <w:tcW w:w="45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Diluted</w:t>
            </w:r>
          </w:p>
        </w:tc>
        <w:tc>
          <w:tcPr>
            <w:tcW w:w="10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32,319</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31,755</w:t>
            </w:r>
          </w:p>
        </w:tc>
        <w:tc>
          <w:tcPr>
            <w:tcW w:w="2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32,320</w:t>
            </w: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26,720</w:t>
            </w:r>
          </w:p>
        </w:tc>
      </w:tr>
      <w:tr>
        <w:trPr>
          <w:trHeight w:val="432"/>
        </w:trPr>
        <w:tc>
          <w:tcPr>
            <w:tcW w:w="452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pacing w:after="0" w:line="1" w:lineRule="exact"/>
        <w:rPr>
          <w:sz w:val="20"/>
          <w:szCs w:val="20"/>
          <w:color w:val="auto"/>
        </w:rPr>
      </w:pPr>
    </w:p>
    <w:sectPr>
      <w:pgSz w:w="11900" w:h="16838" w:orient="portrait"/>
      <w:cols w:equalWidth="0" w:num="1">
        <w:col w:w="11240"/>
      </w:cols>
      <w:pgMar w:left="320" w:top="904"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6334873"/>
    <w:multiLevelType w:val="hybridMultilevel"/>
    <w:lvl w:ilvl="0">
      <w:lvlJc w:val="left"/>
      <w:lvlText w:val="☐"/>
      <w:numFmt w:val="bullet"/>
      <w:start w:val="1"/>
    </w:lvl>
  </w:abstractNum>
  <w:abstractNum w:abstractNumId="1">
    <w:nsid w:val="74B0DC51"/>
    <w:multiLevelType w:val="hybridMultilevel"/>
    <w:lvl w:ilvl="0">
      <w:lvlJc w:val="left"/>
      <w:lvlText w:val="·"/>
      <w:numFmt w:val="bullet"/>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2021-04-01T15:25:11Z</dcterms:created>
  <dcterms:modified xsi:type="dcterms:W3CDTF">2021-04-01T15:25:11Z</dcterms:modified>
</cp:coreProperties>
</file>