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SKELLY WILLIAM G</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ACURA 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26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ACUR </w:t>
            </w:r>
            <w:r>
              <w:rPr>
                <w:rFonts w:ascii="Arial" w:cs="Arial" w:eastAsia="Arial" w:hAnsi="Arial"/>
                <w:sz w:val="20"/>
                <w:szCs w:val="20"/>
                <w:color w:val="000000"/>
              </w:rPr>
              <w:t>]</w:t>
            </w:r>
          </w:p>
        </w:tc>
        <w:tc>
          <w:tcPr>
            <w:tcW w:w="5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3260" w:type="dxa"/>
            <w:vAlign w:val="bottom"/>
            <w:tcBorders>
              <w:top w:val="single" w:sz="8" w:color="0000EE"/>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2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ACURA PHARMACEUTICALS, INC.</w:t>
            </w:r>
          </w:p>
        </w:tc>
        <w:tc>
          <w:tcPr>
            <w:tcW w:w="100" w:type="dxa"/>
            <w:vAlign w:val="bottom"/>
          </w:tcPr>
          <w:p>
            <w:pPr>
              <w:spacing w:after="0"/>
              <w:rPr>
                <w:sz w:val="9"/>
                <w:szCs w:val="9"/>
                <w:color w:val="auto"/>
              </w:rPr>
            </w:pPr>
          </w:p>
        </w:tc>
        <w:tc>
          <w:tcPr>
            <w:tcW w:w="3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7"/>
                <w:szCs w:val="17"/>
                <w:color w:val="0000FF"/>
              </w:rPr>
              <w:t>05/25/2021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616 N. NORTH COURT, SUITE 120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gridSpan w:val="2"/>
          </w:tcPr>
          <w:p>
            <w:pPr>
              <w:ind w:left="280"/>
              <w:spacing w:after="0" w:line="141" w:lineRule="exact"/>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PALATINE</w:t>
            </w:r>
          </w:p>
        </w:tc>
        <w:tc>
          <w:tcPr>
            <w:tcW w:w="180" w:type="dxa"/>
            <w:vAlign w:val="bottom"/>
            <w:vMerge w:val="restart"/>
          </w:tcPr>
          <w:p>
            <w:pPr>
              <w:spacing w:after="0"/>
              <w:rPr>
                <w:sz w:val="20"/>
                <w:szCs w:val="20"/>
                <w:color w:val="auto"/>
              </w:rPr>
            </w:pPr>
            <w:r>
              <w:rPr>
                <w:rFonts w:ascii="Arial" w:cs="Arial" w:eastAsia="Arial" w:hAnsi="Arial"/>
                <w:sz w:val="17"/>
                <w:szCs w:val="17"/>
                <w:color w:val="0000FF"/>
              </w:rPr>
              <w:t>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60067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66,666</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Units</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ind w:left="220"/>
              <w:spacing w:after="0" w:line="125" w:lineRule="exact"/>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66,666</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66,666</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00" w:type="dxa"/>
            <w:vAlign w:val="bottom"/>
            <w:gridSpan w:val="3"/>
            <w:vMerge w:val="restart"/>
          </w:tcPr>
          <w:p>
            <w:pPr>
              <w:ind w:left="80"/>
              <w:spacing w:after="0"/>
              <w:rPr>
                <w:sz w:val="20"/>
                <w:szCs w:val="20"/>
                <w:color w:val="auto"/>
              </w:rPr>
            </w:pPr>
            <w:r>
              <w:rPr>
                <w:rFonts w:ascii="Arial" w:cs="Arial" w:eastAsia="Arial" w:hAnsi="Arial"/>
                <w:sz w:val="13"/>
                <w:szCs w:val="13"/>
                <w:color w:val="0000FF"/>
              </w:rPr>
              <w:t>(2021</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Plan)</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 value of $.01 per share must be paid by Reporting Person upon exchange of Restricted Stock Units for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1 - for - 1</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4"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50% of Restricted Stock Units vest on the last day of June 2021, while 25% of Restricted Stock Units vest on the last day of September 2021 and December 2021, subject to immediate vesting in the event of a change of control and certain other events. Reporting Person may elect to exchange up to 40% of Restricted Stock Units for cash and the remaining Restricted Stock Units will be exchanged on a one for one basis for common stock, in each case upon payment of, or deduction of par value. Distributions in respect of vested Restricted Stock Units will be made on the first business day of January 2022, or earlier upon a change of control.</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William G. Skelly</w:t>
            </w:r>
          </w:p>
        </w:tc>
        <w:tc>
          <w:tcPr>
            <w:tcW w:w="760" w:type="dxa"/>
            <w:vAlign w:val="bottom"/>
          </w:tcPr>
          <w:p>
            <w:pPr>
              <w:spacing w:after="0"/>
              <w:rPr>
                <w:sz w:val="20"/>
                <w:szCs w:val="20"/>
                <w:color w:val="auto"/>
              </w:rPr>
            </w:pPr>
            <w:r>
              <w:rPr>
                <w:rFonts w:ascii="Arial" w:cs="Arial" w:eastAsia="Arial" w:hAnsi="Arial"/>
                <w:sz w:val="17"/>
                <w:szCs w:val="17"/>
                <w:color w:val="0000FF"/>
                <w:w w:val="86"/>
              </w:rPr>
              <w:t>05/25/2021</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352" TargetMode="External"/><Relationship Id="rId13" Type="http://schemas.openxmlformats.org/officeDocument/2006/relationships/hyperlink" Target="http://www.sec.gov/cgi-bin/browse-edgar?action=getcompany&amp;CIK=00007869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2021-05-28T20:48:34Z</dcterms:created>
  <dcterms:modified xsi:type="dcterms:W3CDTF">2021-05-28T20:48:34Z</dcterms:modified>
</cp:coreProperties>
</file>