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17, 2021</w:t>
      </w:r>
    </w:p>
    <w:p>
      <w:pPr>
        <w:spacing w:after="0" w:line="27"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ACURA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___________________________________________________________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440" w:type="dxa"/>
            <w:vAlign w:val="bottom"/>
          </w:tcPr>
          <w:p>
            <w:pPr>
              <w:spacing w:after="0"/>
              <w:rPr>
                <w:sz w:val="19"/>
                <w:szCs w:val="19"/>
                <w:color w:val="auto"/>
              </w:rPr>
            </w:pPr>
          </w:p>
        </w:tc>
        <w:tc>
          <w:tcPr>
            <w:tcW w:w="194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New York</w:t>
            </w:r>
          </w:p>
        </w:tc>
        <w:tc>
          <w:tcPr>
            <w:tcW w:w="2560" w:type="dxa"/>
            <w:vAlign w:val="bottom"/>
            <w:gridSpan w:val="2"/>
          </w:tcPr>
          <w:p>
            <w:pPr>
              <w:jc w:val="center"/>
              <w:ind w:left="1850"/>
              <w:spacing w:after="0"/>
              <w:rPr>
                <w:sz w:val="20"/>
                <w:szCs w:val="20"/>
                <w:color w:val="auto"/>
              </w:rPr>
            </w:pPr>
            <w:r>
              <w:rPr>
                <w:rFonts w:ascii="Arial" w:cs="Arial" w:eastAsia="Arial" w:hAnsi="Arial"/>
                <w:sz w:val="18"/>
                <w:szCs w:val="18"/>
                <w:b w:val="1"/>
                <w:bCs w:val="1"/>
                <w:color w:val="auto"/>
                <w:w w:val="87"/>
              </w:rPr>
              <w:t>1-10113</w:t>
            </w:r>
          </w:p>
        </w:tc>
        <w:tc>
          <w:tcPr>
            <w:tcW w:w="1040" w:type="dxa"/>
            <w:vAlign w:val="bottom"/>
          </w:tcPr>
          <w:p>
            <w:pPr>
              <w:spacing w:after="0"/>
              <w:rPr>
                <w:sz w:val="19"/>
                <w:szCs w:val="19"/>
                <w:color w:val="auto"/>
              </w:rPr>
            </w:pPr>
          </w:p>
        </w:tc>
        <w:tc>
          <w:tcPr>
            <w:tcW w:w="35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11-0853640</w:t>
            </w:r>
          </w:p>
        </w:tc>
      </w:tr>
      <w:tr>
        <w:trPr>
          <w:trHeight w:val="216"/>
        </w:trPr>
        <w:tc>
          <w:tcPr>
            <w:tcW w:w="3380" w:type="dxa"/>
            <w:vAlign w:val="bottom"/>
            <w:gridSpan w:val="2"/>
          </w:tcPr>
          <w:p>
            <w:pPr>
              <w:jc w:val="center"/>
              <w:ind w:left="370"/>
              <w:spacing w:after="0"/>
              <w:rPr>
                <w:sz w:val="20"/>
                <w:szCs w:val="20"/>
                <w:color w:val="auto"/>
              </w:rPr>
            </w:pPr>
            <w:r>
              <w:rPr>
                <w:rFonts w:ascii="Arial" w:cs="Arial" w:eastAsia="Arial" w:hAnsi="Arial"/>
                <w:sz w:val="18"/>
                <w:szCs w:val="18"/>
                <w:color w:val="auto"/>
                <w:w w:val="92"/>
              </w:rPr>
              <w:t>(State or other jurisdiction of</w:t>
            </w:r>
          </w:p>
        </w:tc>
        <w:tc>
          <w:tcPr>
            <w:tcW w:w="11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(Commission File Number)</w:t>
            </w:r>
          </w:p>
        </w:tc>
        <w:tc>
          <w:tcPr>
            <w:tcW w:w="3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3380" w:type="dxa"/>
            <w:vAlign w:val="bottom"/>
            <w:gridSpan w:val="2"/>
          </w:tcPr>
          <w:p>
            <w:pPr>
              <w:jc w:val="center"/>
              <w:ind w:left="370"/>
              <w:spacing w:after="0"/>
              <w:rPr>
                <w:sz w:val="20"/>
                <w:szCs w:val="20"/>
                <w:color w:val="auto"/>
              </w:rPr>
            </w:pPr>
            <w:r>
              <w:rPr>
                <w:rFonts w:ascii="Arial" w:cs="Arial" w:eastAsia="Arial" w:hAnsi="Arial"/>
                <w:sz w:val="18"/>
                <w:szCs w:val="18"/>
                <w:color w:val="auto"/>
                <w:w w:val="92"/>
              </w:rPr>
              <w:t>incorporation or organization)</w:t>
            </w:r>
          </w:p>
        </w:tc>
        <w:tc>
          <w:tcPr>
            <w:tcW w:w="1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20" w:type="dxa"/>
            <w:vAlign w:val="bottom"/>
          </w:tcPr>
          <w:p>
            <w:pPr>
              <w:jc w:val="center"/>
              <w:ind w:left="109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2"/>
              </w:rPr>
              <w:t>616 N. North Court, Suite 120</w:t>
            </w:r>
          </w:p>
        </w:tc>
        <w:tc>
          <w:tcPr>
            <w:tcW w:w="3520" w:type="dxa"/>
            <w:vAlign w:val="bottom"/>
          </w:tcPr>
          <w:p>
            <w:pPr>
              <w:spacing w:after="0"/>
              <w:rPr>
                <w:sz w:val="24"/>
                <w:szCs w:val="24"/>
                <w:color w:val="auto"/>
              </w:rPr>
            </w:pPr>
          </w:p>
        </w:tc>
      </w:tr>
      <w:tr>
        <w:trPr>
          <w:trHeight w:val="220"/>
        </w:trPr>
        <w:tc>
          <w:tcPr>
            <w:tcW w:w="1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Palatine, Illinois 60067</w:t>
            </w:r>
          </w:p>
        </w:tc>
        <w:tc>
          <w:tcPr>
            <w:tcW w:w="3520" w:type="dxa"/>
            <w:vAlign w:val="bottom"/>
          </w:tcPr>
          <w:p>
            <w:pPr>
              <w:spacing w:after="0"/>
              <w:rPr>
                <w:sz w:val="19"/>
                <w:szCs w:val="19"/>
                <w:color w:val="auto"/>
              </w:rPr>
            </w:pPr>
          </w:p>
        </w:tc>
      </w:tr>
      <w:tr>
        <w:trPr>
          <w:trHeight w:val="230"/>
        </w:trPr>
        <w:tc>
          <w:tcPr>
            <w:tcW w:w="1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120" w:type="dxa"/>
            <w:vAlign w:val="bottom"/>
            <w:gridSpan w:val="4"/>
          </w:tcPr>
          <w:p>
            <w:pPr>
              <w:jc w:val="center"/>
              <w:ind w:right="253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(847) 705-7709</w:t>
            </w:r>
          </w:p>
        </w:tc>
        <w:tc>
          <w:tcPr>
            <w:tcW w:w="352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120" w:type="dxa"/>
            <w:vAlign w:val="bottom"/>
            <w:gridSpan w:val="4"/>
          </w:tcPr>
          <w:p>
            <w:pPr>
              <w:jc w:val="center"/>
              <w:ind w:right="25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698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520" w:type="dxa"/>
            <w:vAlign w:val="bottom"/>
          </w:tcPr>
          <w:p>
            <w:pPr>
              <w:spacing w:after="0"/>
              <w:rPr>
                <w:sz w:val="24"/>
                <w:szCs w:val="24"/>
                <w:color w:val="auto"/>
              </w:rPr>
            </w:pPr>
          </w:p>
        </w:tc>
      </w:tr>
      <w:tr>
        <w:trPr>
          <w:trHeight w:val="39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11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Trading Symbol(s)</w:t>
            </w:r>
          </w:p>
        </w:tc>
        <w:tc>
          <w:tcPr>
            <w:tcW w:w="3520" w:type="dxa"/>
            <w:vAlign w:val="bottom"/>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Arial" w:cs="Arial" w:eastAsia="Arial" w:hAnsi="Arial"/>
                <w:sz w:val="18"/>
                <w:szCs w:val="18"/>
                <w:color w:val="auto"/>
                <w:w w:val="99"/>
              </w:rPr>
              <w:t>Common Stock, $0.01 par value per share</w:t>
            </w:r>
          </w:p>
        </w:tc>
        <w:tc>
          <w:tcPr>
            <w:tcW w:w="114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ACUR</w:t>
            </w:r>
          </w:p>
        </w:tc>
        <w:tc>
          <w:tcPr>
            <w:tcW w:w="3520" w:type="dxa"/>
            <w:vAlign w:val="bottom"/>
          </w:tcPr>
          <w:p>
            <w:pPr>
              <w:spacing w:after="0"/>
              <w:rPr>
                <w:sz w:val="20"/>
                <w:szCs w:val="20"/>
                <w:color w:val="auto"/>
              </w:rPr>
            </w:pPr>
            <w:r>
              <w:rPr>
                <w:rFonts w:ascii="Arial" w:cs="Arial" w:eastAsia="Arial" w:hAnsi="Arial"/>
                <w:sz w:val="18"/>
                <w:szCs w:val="18"/>
                <w:color w:val="auto"/>
              </w:rPr>
              <w:t>OTCQB Market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On May 17, 2021, Acura Pharmaceuticals, Inc. issued a press release announcing its first quarter ended March 31, 2021 financial results. A copy of that press release and the attached financial schedules are attached as Exhibit 99.1 to this report and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4680" w:type="dxa"/>
            <w:vAlign w:val="bottom"/>
            <w:gridSpan w:val="4"/>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7"/>
                <w:szCs w:val="17"/>
                <w:color w:val="auto"/>
              </w:rPr>
            </w:pPr>
          </w:p>
        </w:tc>
        <w:tc>
          <w:tcPr>
            <w:tcW w:w="4680" w:type="dxa"/>
            <w:vAlign w:val="bottom"/>
            <w:gridSpan w:val="4"/>
          </w:tcPr>
          <w:p>
            <w:pPr>
              <w:ind w:left="2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Press Release of the Registrant dated May 17,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80" w:type="dxa"/>
            <w:vAlign w:val="bottom"/>
            <w:gridSpan w:val="2"/>
          </w:tcPr>
          <w:p>
            <w:pPr>
              <w:ind w:left="2520"/>
              <w:spacing w:after="0"/>
              <w:rPr>
                <w:sz w:val="20"/>
                <w:szCs w:val="20"/>
                <w:color w:val="auto"/>
              </w:rPr>
            </w:pPr>
            <w:r>
              <w:rPr>
                <w:rFonts w:ascii="Arial" w:cs="Arial" w:eastAsia="Arial" w:hAnsi="Arial"/>
                <w:sz w:val="18"/>
                <w:szCs w:val="18"/>
                <w:b w:val="1"/>
                <w:bCs w:val="1"/>
                <w:color w:val="auto"/>
                <w:w w:val="98"/>
              </w:rPr>
              <w:t>SIGNATURE</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18, 2021</w:t>
      </w:r>
      <w:r>
        <w:rPr>
          <w:sz w:val="20"/>
          <w:szCs w:val="20"/>
          <w:color w:val="auto"/>
        </w:rPr>
        <w:tab/>
      </w: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187960</wp:posOffset>
            </wp:positionV>
            <wp:extent cx="2245995" cy="1071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Ended March 31, 2021 Financial Results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Palatine, IL – (May 17, 2021) - Acura Pharmaceuticals, Inc. (OTCQB: ACUR), an innovative drug delivery company engaged in the research, development and commercialization of technologies and products intended to address safe use of medications, announced today financial results for its first quarter ended March 31,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reported an operating loss of $146 thousand for the first quarter 2021 compared to an operating loss of $483 thousand for the first quarter ended 2020. The Company reported net loss of $259 thousand or $0.01 per diluted share for the first quarter 2021 compared to net loss of $595 thousand or $0.02 per diluted share for the same period in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2021, the Company recorded $0.6 million in license fees and $32 thousand in royalty revenue. For the first quarter 2020, the Company recorded $1.05 million in license fees and $33 thousand in royalty revenue.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 was $405 thousand for the first quarter 2021, compared to $387 thousand for the first quarter 2020. The expenses for both reporting periods were primarily associated with development of LTX-03 under the license agreement with Abuse Deterrent Pharma, LLC (“ AD Pharma”).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 was $385 thousand for the first quarter 2021 versus $1.2 million for the first quarter 2020. Included in the expense for 2020 was a one-time $668 thousand charge for the impairment of an intangible asset.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14, 2021, the Company had a cash balance of approximately $200 thousand. AD Pharma is delinquent in remitting monthly license payments for January, 2021 thru May, 2021 which aggregates to $1.0 million and approximately $100 thousand of reimbursable LTX-03 development expenses. Failure to make these payments is an event of default under the license agreement with AD Pharma.</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28, 2020, we entered into License, Development and Commercialization Agreement with Abuse Deterrent Pharma, LLC, which was amended in October 2021 (“AD Pharma Amended Agreement”). The AD Pharma Amended Agreement grants AD Pharma exclusive commercialization rights for our lead product candidate, LTX-03 (hydrocodone bitartrate with acetaminophen immediate-release tablets utilizing Acura’s patented LIMITx™ technology) as well as to LTX-02 (oxycodone/acetaminophen) and LTX-09 (alprazolam). The AD Pharma Amended Agreement required AD Pharma to pay us a monthly license payment of $350,000 for a period from inception up to April 2020 at which time the payment became $200,000 per month and continues through the earlier of July 31, 2021 or FDA’s acceptance of a New Drug Application for LTX-03, and reimburse all our outside development costs for LTX-03. Upon commercialization of LTX-03, Acura will be entitled to stepped royalties on sales and is eligible for certain sales related milestones. However, if the NDA application for LTX-03 is not accepted by the FDA by July 31, 2021, AD Pharma has the option of terminating the Agreement and taking ownership of the intellectual property. Acura currently expects the submission and FDA acceptance of the NDA for LTX-03 to occur after July 31, 2021. Acura intends to renegotiate the NDA filing acceptance date for LTX-03, of which no assurance can be given. The AD Pharma Amended Agreement is more fully described in our press releases dated July 2, 2020 and October 28, 2021 as well as in our Form 8-Ks filed July 5, 2020 and October 29, 2021 and our Form 10-Ks filed March 31, 2020 and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Acura Pharmaceuticals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Acura Pharmaceuticals is an innovative drug delivery company engaged in the research, development and commercialization of technologies and products intended to address safe use of medications. We have discovered and developed three proprietary platform technologies which can be used to develop multiple products: LIMITx™ Technology, AVERSION® Technology and IMPEDE® Technology.</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LIMITx</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Technology a development stage technology, is designed to retard the release of active drug ingredients when too many tablets are accidentally or purposefully ingested by neutralizing stomach acid with buffer ingredients but deliver efficacious amounts of drug when taken as a single tablet with a nominal buffer dose. In June 2020, we entered into License, Development and Commercialization Agreement, which was amended in October 2021, with Abuse Deterrent Pharma, LLC, a Kentucky limited liability company and a special purpose company representing a consortium of investors that will finance Acura’s operations through July 2021 and reimburse us for development of LTX-03. AD Pharma has exclusive commercialization rights in the United States to LTX-03 as well as to LTX-02 (oxycodone/acetaminophen) and LTX-09 (alprazolam).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AVERSION® Technology, used in the FDA approved drug OXAYDO® (oxycodone HCl) marketed by Assertio Holdings Inc., utilizes polymers designed to limit the abuse of the product by nasal snorting and injection. AVERSION® Technology is also licensed to KemPharm for use in certain of their products.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IMPEDE® Technology, used in NEXAFED® (pseudoephedrine HCl) and NEXAFED® Sinus (pseudoephedrine HCl/acetaminophen) marketed by MainPointe Pharmaceuticals, utilizes polymers and other ingredients to disrupt the extraction and processing of pseudoephedrine from the tablets into methamphetamine.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press release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258"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funding for our continuing operations, including the development of our products utilizing our LIMITx™ and Impede® technologies;</w:t>
      </w:r>
    </w:p>
    <w:p>
      <w:pPr>
        <w:spacing w:after="0" w:line="1" w:lineRule="exact"/>
        <w:rPr>
          <w:rFonts w:ascii="Arial" w:cs="Arial" w:eastAsia="Arial" w:hAnsi="Arial"/>
          <w:sz w:val="18"/>
          <w:szCs w:val="18"/>
          <w:color w:val="auto"/>
        </w:rPr>
      </w:pPr>
    </w:p>
    <w:p>
      <w:pPr>
        <w:ind w:left="500" w:right="2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we can renegotiate the date by which we are required to obtain FDA acceptance, currently July 31, 2021, for an NDA for LTX-03 by our Agreement with AD Pharma on which we depend to finance operations;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our licensing partners will develop any additional products and utilize Acura for such development;</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9" w:lineRule="exact"/>
        <w:rPr>
          <w:rFonts w:ascii="Arial" w:cs="Arial" w:eastAsia="Arial" w:hAnsi="Arial"/>
          <w:sz w:val="18"/>
          <w:szCs w:val="18"/>
          <w:color w:val="auto"/>
        </w:rPr>
      </w:pPr>
    </w:p>
    <w:p>
      <w:pPr>
        <w:ind w:left="500" w:right="32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reduce respiratory depression will be determined sufficient by the FDA to support approval or labelling describing safety features;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9" w:lineRule="exact"/>
        <w:rPr>
          <w:rFonts w:ascii="Arial" w:cs="Arial" w:eastAsia="Arial" w:hAnsi="Arial"/>
          <w:sz w:val="18"/>
          <w:szCs w:val="18"/>
          <w:color w:val="auto"/>
        </w:rPr>
      </w:pPr>
    </w:p>
    <w:p>
      <w:pPr>
        <w:ind w:left="500" w:right="74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and timing of our development of our LIMITx Technology, including, but not limited to, the submission of a New Drug Application and/or FDA filing acceptance;</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or our licensees’ ability to obtain necessary regulatory approvals and commercialize products utilizing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FDA will agree with or accept the results of our studies for our product candidates;</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whether we will be able to promote the features of our technologies; and</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our product candidates will ultimately perform as intended in commercial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spacing w:after="0" w:line="288" w:lineRule="auto"/>
        <w:rPr>
          <w:sz w:val="20"/>
          <w:szCs w:val="20"/>
          <w:color w:val="auto"/>
        </w:rPr>
      </w:pPr>
      <w:r>
        <w:rPr>
          <w:rFonts w:ascii="Arial" w:cs="Arial" w:eastAsia="Arial" w:hAnsi="Arial"/>
          <w:sz w:val="16"/>
          <w:szCs w:val="16"/>
          <w:color w:val="auto"/>
        </w:rPr>
        <w:t>In some cases, you can identify forward-looking statements by terms such as “anticipate,” “believe,” “continue,” “could,” “estimate,” “expect,” “indicate,” “intend,” “look forward to,” “may,” “plan,” “potential,” “predict,” “project,” “seek”, “should,” “suggest,” “target,” “will,” “would” and similar expressions that convey the uncertainty of future events or outcomes are used to identify forward-looking statements. These statements reflect our current views with respect to future events and are based on assumptions and subject to known and unknown risks and uncertainties. Such forward-looking statements are not guarantees of future performance and are subject to risks, uncertainties and other factors, some of which are beyond the control of Acura. Given these uncertainties, you should not place undue reliance on these forward-looking statements. In light of these risks, uncertainties and assumptions, the forward-looking events and circumstances may not occur and actual results could differ materially and adversely from those anticipated or implied in the forward-looking statements. We discuss many of these risks in greater detail in our filings with the Securities and Exchange Commission. While Acura may elect to update these forward-looking statements at some point in the future, it specifically disclaims any obligation to update or revise any forward-looking statements contained in this press release whether as a result of new information or future events, except as may be required by applicable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31F20"/>
        </w:rPr>
        <w:t>Acura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investors@acurapharm.com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847-705-7709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(unaudited)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(audited)</w:t>
            </w:r>
          </w:p>
        </w:tc>
      </w:tr>
      <w:tr>
        <w:trPr>
          <w:trHeight w:val="229"/>
        </w:trPr>
        <w:tc>
          <w:tcPr>
            <w:tcW w:w="57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December 31,</w:t>
            </w:r>
          </w:p>
        </w:tc>
      </w:tr>
      <w:tr>
        <w:trPr>
          <w:trHeight w:val="230"/>
        </w:trPr>
        <w:tc>
          <w:tcPr>
            <w:tcW w:w="578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2021</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Assets – current</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484</w:t>
            </w:r>
          </w:p>
        </w:tc>
      </w:tr>
      <w:tr>
        <w:trPr>
          <w:trHeight w:val="22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r>
      <w:tr>
        <w:trPr>
          <w:trHeight w:val="210"/>
        </w:trPr>
        <w:tc>
          <w:tcPr>
            <w:tcW w:w="5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5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7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Other liabilities - current</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729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680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Loan under CARES Act - current</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Accrued interest to related party – current</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 to related party – current</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Loan under CARES Act – non current</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105</w:t>
            </w:r>
          </w:p>
        </w:tc>
      </w:tr>
      <w:tr>
        <w:trPr>
          <w:trHeight w:val="22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(5,891)</w:t>
            </w:r>
          </w:p>
        </w:tc>
      </w:tr>
      <w:tr>
        <w:trPr>
          <w:trHeight w:val="210"/>
        </w:trPr>
        <w:tc>
          <w:tcPr>
            <w:tcW w:w="5780" w:type="dxa"/>
            <w:vAlign w:val="bottom"/>
          </w:tcPr>
          <w:p>
            <w:pPr>
              <w:ind w:left="340"/>
              <w:spacing w:after="0"/>
              <w:rPr>
                <w:sz w:val="20"/>
                <w:szCs w:val="20"/>
                <w:color w:val="auto"/>
              </w:rPr>
            </w:pPr>
            <w:r>
              <w:rPr>
                <w:rFonts w:ascii="Arial" w:cs="Arial" w:eastAsia="Arial" w:hAnsi="Arial"/>
                <w:sz w:val="18"/>
                <w:szCs w:val="18"/>
                <w:color w:val="auto"/>
              </w:rPr>
              <w:t>Total liabilities and stockholders' deficit</w:t>
            </w:r>
          </w:p>
        </w:tc>
        <w:tc>
          <w:tcPr>
            <w:tcW w:w="2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425"/>
        </w:trPr>
        <w:tc>
          <w:tcPr>
            <w:tcW w:w="57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4"/>
          </w:tcPr>
          <w:p>
            <w:pPr>
              <w:jc w:val="center"/>
              <w:ind w:left="530"/>
              <w:spacing w:after="0"/>
              <w:rPr>
                <w:sz w:val="20"/>
                <w:szCs w:val="20"/>
                <w:color w:val="auto"/>
              </w:rPr>
            </w:pPr>
            <w:r>
              <w:rPr>
                <w:rFonts w:ascii="Arial" w:cs="Arial" w:eastAsia="Arial" w:hAnsi="Arial"/>
                <w:sz w:val="18"/>
                <w:szCs w:val="18"/>
                <w:color w:val="auto"/>
                <w:w w:val="90"/>
              </w:rPr>
              <w:t>(unaudited)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center"/>
              <w:ind w:right="321"/>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9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2"/>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6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33</w:t>
            </w: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Collaboration – related party</w:t>
            </w:r>
          </w:p>
        </w:tc>
        <w:tc>
          <w:tcPr>
            <w:tcW w:w="2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w:t>
            </w:r>
          </w:p>
        </w:tc>
      </w:tr>
      <w:tr>
        <w:trPr>
          <w:trHeight w:val="229"/>
        </w:trPr>
        <w:tc>
          <w:tcPr>
            <w:tcW w:w="5920" w:type="dxa"/>
            <w:vAlign w:val="bottom"/>
          </w:tcPr>
          <w:p>
            <w:pPr>
              <w:ind w:left="180"/>
              <w:spacing w:after="0"/>
              <w:rPr>
                <w:sz w:val="20"/>
                <w:szCs w:val="20"/>
                <w:color w:val="auto"/>
              </w:rPr>
            </w:pPr>
            <w:r>
              <w:rPr>
                <w:rFonts w:ascii="Arial" w:cs="Arial" w:eastAsia="Arial" w:hAnsi="Arial"/>
                <w:sz w:val="18"/>
                <w:szCs w:val="18"/>
                <w:color w:val="auto"/>
              </w:rPr>
              <w:t>License fees – related party</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1,050</w:t>
            </w: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920" w:type="dxa"/>
            <w:vAlign w:val="bottom"/>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387</w:t>
            </w:r>
          </w:p>
        </w:tc>
      </w:tr>
      <w:tr>
        <w:trPr>
          <w:trHeight w:val="229"/>
        </w:trPr>
        <w:tc>
          <w:tcPr>
            <w:tcW w:w="59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1,187</w:t>
            </w: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8"/>
                <w:szCs w:val="18"/>
                <w:color w:val="auto"/>
              </w:rPr>
              <w:t>Operating loss</w:t>
            </w: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r>
      <w:tr>
        <w:trPr>
          <w:trHeight w:val="22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0"/>
        </w:trPr>
        <w:tc>
          <w:tcPr>
            <w:tcW w:w="59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8"/>
                <w:szCs w:val="18"/>
                <w:color w:val="auto"/>
              </w:rPr>
            </w:pPr>
          </w:p>
        </w:tc>
      </w:tr>
      <w:tr>
        <w:trPr>
          <w:trHeight w:val="22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4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9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loss per share:</w:t>
            </w: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(0.01 )</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59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(0.01 )</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(0.02)</w:t>
            </w: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Basic</w:t>
            </w: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32,270</w:t>
            </w:r>
          </w:p>
        </w:tc>
      </w:tr>
      <w:tr>
        <w:trPr>
          <w:trHeight w:val="23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32,270</w:t>
            </w:r>
          </w:p>
        </w:tc>
      </w:tr>
      <w:tr>
        <w:trPr>
          <w:trHeight w:val="425"/>
        </w:trPr>
        <w:tc>
          <w:tcPr>
            <w:tcW w:w="59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2021-05-18T15:08:19Z</dcterms:created>
  <dcterms:modified xsi:type="dcterms:W3CDTF">2021-05-18T15:08:19Z</dcterms:modified>
</cp:coreProperties>
</file>